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7</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PROTARA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1"/>
        <w:gridCol w:w="8024"/>
      </w:tblGrid>
      <w:tr>
        <w:trPr/>
        <w:tc>
          <w:tcPr>
            <w:tcW w:w="2181" w:type="dxa"/>
            <w:tcBorders/>
            <w:vAlign w:val="center"/>
          </w:tcPr>
          <w:p>
            <w:pPr>
              <w:pStyle w:val="TableContents"/>
              <w:bidi w:val="0"/>
              <w:spacing w:before="0" w:after="283"/>
              <w:jc w:val="left"/>
              <w:rPr/>
            </w:pPr>
            <w:r>
              <w:rPr/>
              <w:t>1</w:t>
            </w:r>
          </w:p>
        </w:tc>
        <w:tc>
          <w:tcPr>
            <w:tcW w:w="802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JANUS HENDERSON GROUP Ltd.</w:t>
            </w:r>
          </w:p>
        </w:tc>
      </w:tr>
      <w:tr>
        <w:trPr/>
        <w:tc>
          <w:tcPr>
            <w:tcW w:w="2181" w:type="dxa"/>
            <w:tcBorders/>
            <w:vAlign w:val="center"/>
          </w:tcPr>
          <w:p>
            <w:pPr>
              <w:pStyle w:val="TableContents"/>
              <w:bidi w:val="0"/>
              <w:spacing w:before="0" w:after="283"/>
              <w:jc w:val="left"/>
              <w:rPr/>
            </w:pPr>
            <w:r>
              <w:rPr/>
              <w:t>2</w:t>
            </w:r>
          </w:p>
        </w:tc>
        <w:tc>
          <w:tcPr>
            <w:tcW w:w="802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1" w:type="dxa"/>
            <w:tcBorders/>
            <w:vAlign w:val="center"/>
          </w:tcPr>
          <w:p>
            <w:pPr>
              <w:pStyle w:val="TableContents"/>
              <w:bidi w:val="0"/>
              <w:spacing w:before="0" w:after="283"/>
              <w:jc w:val="left"/>
              <w:rPr/>
            </w:pPr>
            <w:r>
              <w:rPr/>
              <w:t>3</w:t>
            </w:r>
          </w:p>
        </w:tc>
        <w:tc>
          <w:tcPr>
            <w:tcW w:w="8024" w:type="dxa"/>
            <w:tcBorders/>
            <w:vAlign w:val="center"/>
          </w:tcPr>
          <w:p>
            <w:pPr>
              <w:pStyle w:val="TableContents"/>
              <w:bidi w:val="0"/>
              <w:spacing w:before="0" w:after="283"/>
              <w:jc w:val="left"/>
              <w:rPr/>
            </w:pPr>
            <w:r>
              <w:rPr/>
              <w:t>Sec Use Only</w:t>
            </w:r>
          </w:p>
        </w:tc>
      </w:tr>
      <w:tr>
        <w:trPr/>
        <w:tc>
          <w:tcPr>
            <w:tcW w:w="2181" w:type="dxa"/>
            <w:tcBorders/>
            <w:vAlign w:val="center"/>
          </w:tcPr>
          <w:p>
            <w:pPr>
              <w:pStyle w:val="TableContents"/>
              <w:bidi w:val="0"/>
              <w:spacing w:before="0" w:after="283"/>
              <w:jc w:val="left"/>
              <w:rPr/>
            </w:pPr>
            <w:r>
              <w:rPr/>
              <w:t>4</w:t>
            </w:r>
          </w:p>
        </w:tc>
        <w:tc>
          <w:tcPr>
            <w:tcW w:w="802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JERSEY </w:t>
            </w:r>
          </w:p>
        </w:tc>
      </w:tr>
      <w:tr>
        <w:trPr/>
        <w:tc>
          <w:tcPr>
            <w:tcW w:w="218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4,696,709.00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4,696,709.00</w:t>
                  </w:r>
                </w:p>
              </w:tc>
            </w:tr>
          </w:tbl>
          <w:p>
            <w:pPr>
              <w:pStyle w:val="TableContents"/>
              <w:bidi w:val="0"/>
              <w:spacing w:before="0" w:after="283"/>
              <w:jc w:val="left"/>
              <w:rPr/>
            </w:pPr>
            <w:r>
              <w:rPr/>
            </w:r>
          </w:p>
        </w:tc>
        <w:tc>
          <w:tcPr>
            <w:tcW w:w="8024" w:type="dxa"/>
            <w:tcBorders/>
            <w:vAlign w:val="center"/>
          </w:tcPr>
          <w:p>
            <w:pPr>
              <w:pStyle w:val="TableContents"/>
              <w:bidi w:val="0"/>
              <w:spacing w:before="0" w:after="283"/>
              <w:jc w:val="left"/>
              <w:rPr>
                <w:sz w:val="4"/>
                <w:szCs w:val="4"/>
              </w:rPr>
            </w:pPr>
            <w:r>
              <w:rPr>
                <w:sz w:val="4"/>
                <w:szCs w:val="4"/>
              </w:rPr>
            </w:r>
          </w:p>
        </w:tc>
      </w:tr>
      <w:tr>
        <w:trPr/>
        <w:tc>
          <w:tcPr>
            <w:tcW w:w="2181" w:type="dxa"/>
            <w:tcBorders/>
            <w:vAlign w:val="center"/>
          </w:tcPr>
          <w:p>
            <w:pPr>
              <w:pStyle w:val="TableContents"/>
              <w:bidi w:val="0"/>
              <w:spacing w:before="0" w:after="283"/>
              <w:jc w:val="left"/>
              <w:rPr/>
            </w:pPr>
            <w:r>
              <w:rPr/>
              <w:t>9</w:t>
            </w:r>
          </w:p>
        </w:tc>
        <w:tc>
          <w:tcPr>
            <w:tcW w:w="802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4,696,709.00</w:t>
            </w:r>
          </w:p>
        </w:tc>
      </w:tr>
      <w:tr>
        <w:trPr/>
        <w:tc>
          <w:tcPr>
            <w:tcW w:w="2181" w:type="dxa"/>
            <w:tcBorders/>
            <w:vAlign w:val="center"/>
          </w:tcPr>
          <w:p>
            <w:pPr>
              <w:pStyle w:val="TableContents"/>
              <w:bidi w:val="0"/>
              <w:spacing w:before="0" w:after="283"/>
              <w:jc w:val="left"/>
              <w:rPr/>
            </w:pPr>
            <w:r>
              <w:rPr/>
              <w:t>10</w:t>
            </w:r>
          </w:p>
        </w:tc>
        <w:tc>
          <w:tcPr>
            <w:tcW w:w="802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1" w:type="dxa"/>
            <w:tcBorders/>
            <w:vAlign w:val="center"/>
          </w:tcPr>
          <w:p>
            <w:pPr>
              <w:pStyle w:val="TableContents"/>
              <w:bidi w:val="0"/>
              <w:spacing w:before="0" w:after="283"/>
              <w:jc w:val="left"/>
              <w:rPr/>
            </w:pPr>
            <w:r>
              <w:rPr/>
              <w:t>11</w:t>
            </w:r>
          </w:p>
        </w:tc>
        <w:tc>
          <w:tcPr>
            <w:tcW w:w="802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8.4 % </w:t>
            </w:r>
          </w:p>
        </w:tc>
      </w:tr>
      <w:tr>
        <w:trPr/>
        <w:tc>
          <w:tcPr>
            <w:tcW w:w="2181" w:type="dxa"/>
            <w:tcBorders/>
            <w:vAlign w:val="center"/>
          </w:tcPr>
          <w:p>
            <w:pPr>
              <w:pStyle w:val="TableContents"/>
              <w:bidi w:val="0"/>
              <w:spacing w:before="0" w:after="283"/>
              <w:jc w:val="left"/>
              <w:rPr/>
            </w:pPr>
            <w:r>
              <w:rPr/>
              <w:t>12</w:t>
            </w:r>
          </w:p>
        </w:tc>
        <w:tc>
          <w:tcPr>
            <w:tcW w:w="802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6"/>
        <w:gridCol w:w="8924"/>
        <w:gridCol w:w="155"/>
      </w:tblGrid>
      <w:tr>
        <w:trPr/>
        <w:tc>
          <w:tcPr>
            <w:tcW w:w="1126" w:type="dxa"/>
            <w:tcBorders/>
            <w:vAlign w:val="center"/>
          </w:tcPr>
          <w:p>
            <w:pPr>
              <w:pStyle w:val="TableContents"/>
              <w:bidi w:val="0"/>
              <w:spacing w:before="0" w:after="283"/>
              <w:jc w:val="left"/>
              <w:rPr/>
            </w:pPr>
            <w:r>
              <w:rPr/>
              <w:t>Item 1.</w:t>
            </w:r>
          </w:p>
        </w:tc>
        <w:tc>
          <w:tcPr>
            <w:tcW w:w="892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(a)</w:t>
            </w:r>
          </w:p>
        </w:tc>
        <w:tc>
          <w:tcPr>
            <w:tcW w:w="8924" w:type="dxa"/>
            <w:tcBorders/>
            <w:vAlign w:val="center"/>
          </w:tcPr>
          <w:p>
            <w:pPr>
              <w:pStyle w:val="TableContents"/>
              <w:bidi w:val="0"/>
              <w:jc w:val="left"/>
              <w:rPr/>
            </w:pPr>
            <w:r>
              <w:rPr/>
              <w:t xml:space="preserve">Name of issuer: </w:t>
            </w:r>
          </w:p>
          <w:p>
            <w:pPr>
              <w:pStyle w:val="TableContents"/>
              <w:bidi w:val="0"/>
              <w:spacing w:before="0" w:after="0"/>
              <w:jc w:val="left"/>
              <w:rPr/>
            </w:pPr>
            <w:r>
              <w:rPr/>
              <w:t>PROTARA THERAPEUTICS, INC.</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(b)</w:t>
            </w:r>
          </w:p>
        </w:tc>
        <w:tc>
          <w:tcPr>
            <w:tcW w:w="892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345 PARK AVENUE SOUTH, 3RD FLOOR NEW YORK, NY 10010</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2.</w:t>
            </w:r>
          </w:p>
        </w:tc>
        <w:tc>
          <w:tcPr>
            <w:tcW w:w="892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(a)</w:t>
            </w:r>
          </w:p>
        </w:tc>
        <w:tc>
          <w:tcPr>
            <w:tcW w:w="8924" w:type="dxa"/>
            <w:tcBorders/>
            <w:vAlign w:val="center"/>
          </w:tcPr>
          <w:p>
            <w:pPr>
              <w:pStyle w:val="TableContents"/>
              <w:bidi w:val="0"/>
              <w:jc w:val="left"/>
              <w:rPr/>
            </w:pPr>
            <w:r>
              <w:rPr/>
              <w:t xml:space="preserve">Name of person filing: </w:t>
            </w:r>
          </w:p>
          <w:p>
            <w:pPr>
              <w:pStyle w:val="TableContents"/>
              <w:bidi w:val="0"/>
              <w:spacing w:before="0" w:after="0"/>
              <w:jc w:val="left"/>
              <w:rPr/>
            </w:pPr>
            <w:r>
              <w:rPr/>
              <w:t>Janus Henderson Group Ltd. In accordance with SEC Release No. 34-39538 (January 12, 1998), this Schedule 13G reflects the securities beneficially owned, or deemed to be beneficially owned, by Janus Henderson Group Ltd. It does not include securities, if any, beneficially owned by Janus Henderson Group Ltd.s ultimate parent Jupiter Topco LLC, the direct or indirect owners of Jupiter Topco LLC, or other persons that may be deemed under control of such owners. Any beneficial ownership by such persons has been disaggregated from that of Janus Henderson Group Ltd. in accordance with the release.</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(b)</w:t>
            </w:r>
          </w:p>
        </w:tc>
        <w:tc>
          <w:tcPr>
            <w:tcW w:w="892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201 Bishopsgate EC2M 3AE, United Kingdom</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(c)</w:t>
            </w:r>
          </w:p>
        </w:tc>
        <w:tc>
          <w:tcPr>
            <w:tcW w:w="8924" w:type="dxa"/>
            <w:tcBorders/>
            <w:vAlign w:val="center"/>
          </w:tcPr>
          <w:p>
            <w:pPr>
              <w:pStyle w:val="TableContents"/>
              <w:bidi w:val="0"/>
              <w:jc w:val="left"/>
              <w:rPr/>
            </w:pPr>
            <w:r>
              <w:rPr/>
              <w:t xml:space="preserve">Citizenship: </w:t>
            </w:r>
          </w:p>
          <w:p>
            <w:pPr>
              <w:pStyle w:val="TableContents"/>
              <w:bidi w:val="0"/>
              <w:spacing w:before="0" w:after="0"/>
              <w:jc w:val="left"/>
              <w:rPr/>
            </w:pPr>
            <w:r>
              <w:rPr/>
              <w:t>Y9</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(d)</w:t>
            </w:r>
          </w:p>
        </w:tc>
        <w:tc>
          <w:tcPr>
            <w:tcW w:w="892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(e)</w:t>
            </w:r>
          </w:p>
        </w:tc>
        <w:tc>
          <w:tcPr>
            <w:tcW w:w="892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3.</w:t>
            </w:r>
          </w:p>
        </w:tc>
        <w:tc>
          <w:tcPr>
            <w:tcW w:w="892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(a)</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(b)</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(c)</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(d)</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(e)</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(f)</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(g)</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(h)</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(j)</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(k)</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9079" w:type="dxa"/>
            <w:gridSpan w:val="2"/>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4.</w:t>
            </w:r>
          </w:p>
        </w:tc>
        <w:tc>
          <w:tcPr>
            <w:tcW w:w="892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(a)</w:t>
            </w:r>
          </w:p>
        </w:tc>
        <w:tc>
          <w:tcPr>
            <w:tcW w:w="892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Janus Henderson Group Ltd. (JHG) is the ultimate parent of a number of SEC-registered investment advisers and foreign equivalents thereof, including but not limited to Janus Henderson Investors US LLC, Janus Henderson Investors UK Limited, Janus Henderson Investors Australia Institutional Funds Management Limited, Janus Henderson Investors Middle East Limited, Janus Henderson Investors (Jersey) Limited, Janus Henderson Investors (Japan) Limited, Janus Henderson Investors (Singapore) Limited, Kapstream Capital Pty Limited, Privacore Capital Advisors LLC, Tabula Investment Management Limited, Victory Park Capital Advisors LLC, and Richard Berstein Advisors LLC (each, an Asset Manager and together, the Asset Managers). The Asset Managers generally exercise investment and/or voting discretion on behalf of their clients which include investment companies, other investment advisers, institutional separate accounts and retail separate accounts (collectively referred to herein as Managed Portfolios). As a result of their exercise of investment and/or voting discretion on behalf of the Managed Portfolios, the Asset Managers may be deemed to be the beneficial owner of 4,696,709 common stock of Protara Therapeutics, Inc. However, the Asset Managers do not have the right to receive any dividends from, or the proceeds from the sale of, the securities held in the Managed Portfolios and disclaim any ownership associated with such rights.</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(b)</w:t>
            </w:r>
          </w:p>
        </w:tc>
        <w:tc>
          <w:tcPr>
            <w:tcW w:w="892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8.4  %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(c)</w:t>
            </w:r>
          </w:p>
        </w:tc>
        <w:tc>
          <w:tcPr>
            <w:tcW w:w="892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4696709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4696709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5.</w:t>
            </w:r>
          </w:p>
        </w:tc>
        <w:tc>
          <w:tcPr>
            <w:tcW w:w="892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6.</w:t>
            </w:r>
          </w:p>
        </w:tc>
        <w:tc>
          <w:tcPr>
            <w:tcW w:w="892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Managed Portfolios have the right to receive all dividends from, and the proceeds from the sale of, the securities held in their respective accounts. Of the Managed Portfolios, only the Janus Henderson Biotech Innovation Master Fund Ltd. has the right to receive dividends from, or the proceeds from the sale of, more than five percent of the common stock of Protara Therapeutics, Inc. Due to an irrevocable delegation of investment and voting discretion to an Asset Manager on less than 60 days notice, the Fund is not considered a Reporting Person under Section 13(d) and (g).</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7.</w:t>
            </w:r>
          </w:p>
        </w:tc>
        <w:tc>
          <w:tcPr>
            <w:tcW w:w="892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Please refer to Exhibit 99.</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8.</w:t>
            </w:r>
          </w:p>
        </w:tc>
        <w:tc>
          <w:tcPr>
            <w:tcW w:w="892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9.</w:t>
            </w:r>
          </w:p>
        </w:tc>
        <w:tc>
          <w:tcPr>
            <w:tcW w:w="892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030" w:type="dxa"/>
        <w:jc w:val="left"/>
        <w:tblInd w:w="0" w:type="dxa"/>
        <w:tblLayout w:type="fixed"/>
        <w:tblCellMar>
          <w:top w:w="28" w:type="dxa"/>
          <w:left w:w="28" w:type="dxa"/>
          <w:bottom w:w="28" w:type="dxa"/>
          <w:right w:w="28" w:type="dxa"/>
        </w:tblCellMar>
      </w:tblPr>
      <w:tblGrid>
        <w:gridCol w:w="4015"/>
        <w:gridCol w:w="4015"/>
      </w:tblGrid>
      <w:tr>
        <w:trPr/>
        <w:tc>
          <w:tcPr>
            <w:tcW w:w="4015" w:type="dxa"/>
            <w:tcBorders/>
            <w:vAlign w:val="center"/>
          </w:tcPr>
          <w:p>
            <w:pPr>
              <w:pStyle w:val="TableContents"/>
              <w:bidi w:val="0"/>
              <w:spacing w:before="0" w:after="0"/>
              <w:jc w:val="left"/>
              <w:rPr/>
            </w:pPr>
            <w:r>
              <w:rPr/>
              <w:t> </w:t>
            </w:r>
          </w:p>
          <w:tbl>
            <w:tblPr>
              <w:tblW w:w="3841" w:type="dxa"/>
              <w:jc w:val="left"/>
              <w:tblInd w:w="0" w:type="dxa"/>
              <w:tblLayout w:type="fixed"/>
              <w:tblCellMar>
                <w:top w:w="28" w:type="dxa"/>
                <w:left w:w="28" w:type="dxa"/>
                <w:bottom w:w="28" w:type="dxa"/>
                <w:right w:w="28" w:type="dxa"/>
              </w:tblCellMar>
            </w:tblPr>
            <w:tblGrid>
              <w:gridCol w:w="3841"/>
            </w:tblGrid>
            <w:tr>
              <w:trPr/>
              <w:tc>
                <w:tcPr>
                  <w:tcW w:w="3841" w:type="dxa"/>
                  <w:tcBorders/>
                  <w:vAlign w:val="center"/>
                </w:tcPr>
                <w:p>
                  <w:pPr>
                    <w:pStyle w:val="TableContents"/>
                    <w:bidi w:val="0"/>
                    <w:spacing w:before="0" w:after="0"/>
                    <w:jc w:val="left"/>
                    <w:rPr/>
                  </w:pPr>
                  <w:r>
                    <w:rPr/>
                    <w:t>JANUS HENDERSON GROUP Ltd.</w:t>
                  </w:r>
                </w:p>
              </w:tc>
            </w:tr>
          </w:tbl>
          <w:p>
            <w:pPr>
              <w:pStyle w:val="TableContents"/>
              <w:bidi w:val="0"/>
              <w:spacing w:before="0" w:after="283"/>
              <w:jc w:val="left"/>
              <w:rPr/>
            </w:pPr>
            <w:r>
              <w:rPr/>
            </w:r>
          </w:p>
        </w:tc>
        <w:tc>
          <w:tcPr>
            <w:tcW w:w="40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Kristin Mariani</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Head of North America Compliance</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Janus Henderson Group Ltd. ("the Company"),</w:t>
      </w:r>
    </w:p>
    <w:p>
      <w:pPr>
        <w:pStyle w:val="PreformattedText"/>
        <w:bidi w:val="0"/>
        <w:spacing w:before="0" w:after="0"/>
        <w:jc w:val="left"/>
        <w:rPr/>
      </w:pPr>
      <w:r>
        <w:rPr/>
        <w:t>does hereby make, constitute and appoint each of Kristin Mariani</w:t>
      </w:r>
    </w:p>
    <w:p>
      <w:pPr>
        <w:pStyle w:val="PreformattedText"/>
        <w:bidi w:val="0"/>
        <w:spacing w:before="0" w:after="0"/>
        <w:jc w:val="left"/>
        <w:rPr/>
      </w:pPr>
      <w:r>
        <w:rPr/>
        <w:t>and Caroline Barotti acting severally, as its true and lawful</w:t>
      </w:r>
    </w:p>
    <w:p>
      <w:pPr>
        <w:pStyle w:val="PreformattedText"/>
        <w:bidi w:val="0"/>
        <w:spacing w:before="0" w:after="0"/>
        <w:jc w:val="left"/>
        <w:rPr/>
      </w:pPr>
      <w:r>
        <w:rPr/>
        <w:t>attorneys in-fact, for the purpose of, from time to time,</w:t>
      </w:r>
    </w:p>
    <w:p>
      <w:pPr>
        <w:pStyle w:val="PreformattedText"/>
        <w:bidi w:val="0"/>
        <w:spacing w:before="0" w:after="0"/>
        <w:jc w:val="left"/>
        <w:rPr/>
      </w:pPr>
      <w:r>
        <w:rPr/>
        <w:t>executing in its name and on its behalf, whether the Company</w:t>
      </w:r>
    </w:p>
    <w:p>
      <w:pPr>
        <w:pStyle w:val="PreformattedText"/>
        <w:bidi w:val="0"/>
        <w:spacing w:before="0" w:after="0"/>
        <w:jc w:val="left"/>
        <w:rPr/>
      </w:pPr>
      <w:r>
        <w:rPr/>
        <w:t>individually or as representative of others, any and all</w:t>
      </w:r>
    </w:p>
    <w:p>
      <w:pPr>
        <w:pStyle w:val="PreformattedText"/>
        <w:bidi w:val="0"/>
        <w:spacing w:before="0" w:after="0"/>
        <w:jc w:val="left"/>
        <w:rPr/>
      </w:pPr>
      <w:r>
        <w:rPr/>
        <w:t>documents, certificates, instruments, statements, other filings</w:t>
      </w:r>
    </w:p>
    <w:p>
      <w:pPr>
        <w:pStyle w:val="PreformattedText"/>
        <w:bidi w:val="0"/>
        <w:spacing w:before="0" w:after="0"/>
        <w:jc w:val="left"/>
        <w:rPr/>
      </w:pPr>
      <w:r>
        <w:rPr/>
        <w:t>and amendments to the foregoing (collectively, "documents")</w:t>
      </w:r>
    </w:p>
    <w:p>
      <w:pPr>
        <w:pStyle w:val="PreformattedText"/>
        <w:bidi w:val="0"/>
        <w:spacing w:before="0" w:after="0"/>
        <w:jc w:val="left"/>
        <w:rPr/>
      </w:pPr>
      <w:r>
        <w:rPr/>
        <w:t>determined by such person to be necessary or appropriate to</w:t>
      </w:r>
    </w:p>
    <w:p>
      <w:pPr>
        <w:pStyle w:val="PreformattedText"/>
        <w:bidi w:val="0"/>
        <w:spacing w:before="0" w:after="0"/>
        <w:jc w:val="left"/>
        <w:rPr/>
      </w:pPr>
      <w:r>
        <w:rPr/>
        <w:t>comply with ownership or control-person reporting requirements</w:t>
      </w:r>
    </w:p>
    <w:p>
      <w:pPr>
        <w:pStyle w:val="PreformattedText"/>
        <w:bidi w:val="0"/>
        <w:spacing w:before="0" w:after="0"/>
        <w:jc w:val="left"/>
        <w:rPr/>
      </w:pPr>
      <w:r>
        <w:rPr/>
        <w:t>imposed by any United States or non-United States governmental</w:t>
      </w:r>
    </w:p>
    <w:p>
      <w:pPr>
        <w:pStyle w:val="PreformattedText"/>
        <w:bidi w:val="0"/>
        <w:spacing w:before="0" w:after="0"/>
        <w:jc w:val="left"/>
        <w:rPr/>
      </w:pPr>
      <w:r>
        <w:rPr/>
        <w:t>or regulatory authority, including, without limitation, Forms</w:t>
      </w:r>
    </w:p>
    <w:p>
      <w:pPr>
        <w:pStyle w:val="PreformattedText"/>
        <w:bidi w:val="0"/>
        <w:spacing w:before="0" w:after="0"/>
        <w:jc w:val="left"/>
        <w:rPr/>
      </w:pPr>
      <w:r>
        <w:rPr/>
        <w:t>13D, 13F, 13G and 13H and any amendments to any of the foregoing</w:t>
      </w:r>
    </w:p>
    <w:p>
      <w:pPr>
        <w:pStyle w:val="PreformattedText"/>
        <w:bidi w:val="0"/>
        <w:spacing w:before="0" w:after="0"/>
        <w:jc w:val="left"/>
        <w:rPr/>
      </w:pPr>
      <w:r>
        <w:rPr/>
        <w:t>as may be required to be filed with the Securities and Exchange</w:t>
      </w:r>
    </w:p>
    <w:p>
      <w:pPr>
        <w:pStyle w:val="PreformattedText"/>
        <w:bidi w:val="0"/>
        <w:spacing w:before="0" w:after="0"/>
        <w:jc w:val="left"/>
        <w:rPr/>
      </w:pPr>
      <w:r>
        <w:rPr/>
        <w:t>Commission, and delivering, furnishing or filing any such</w:t>
      </w:r>
    </w:p>
    <w:p>
      <w:pPr>
        <w:pStyle w:val="PreformattedText"/>
        <w:bidi w:val="0"/>
        <w:spacing w:before="0" w:after="0"/>
        <w:jc w:val="left"/>
        <w:rPr/>
      </w:pPr>
      <w:r>
        <w:rPr/>
        <w:t>documents with the appropriate governmental, regulatory authority</w:t>
      </w:r>
    </w:p>
    <w:p>
      <w:pPr>
        <w:pStyle w:val="PreformattedText"/>
        <w:bidi w:val="0"/>
        <w:spacing w:before="0" w:after="0"/>
        <w:jc w:val="left"/>
        <w:rPr/>
      </w:pPr>
      <w:r>
        <w:rPr/>
        <w:t>or other person, and giving and granting to each such</w:t>
      </w:r>
    </w:p>
    <w:p>
      <w:pPr>
        <w:pStyle w:val="PreformattedText"/>
        <w:bidi w:val="0"/>
        <w:spacing w:before="0" w:after="0"/>
        <w:jc w:val="left"/>
        <w:rPr/>
      </w:pPr>
      <w:r>
        <w:rPr/>
        <w:t>attorney-in-fact power and authority to act in the premises as</w:t>
      </w:r>
    </w:p>
    <w:p>
      <w:pPr>
        <w:pStyle w:val="PreformattedText"/>
        <w:bidi w:val="0"/>
        <w:spacing w:before="0" w:after="0"/>
        <w:jc w:val="left"/>
        <w:rPr/>
      </w:pPr>
      <w:r>
        <w:rPr/>
        <w:t>fully and to all intents and purposes as the Company might or</w:t>
      </w:r>
    </w:p>
    <w:p>
      <w:pPr>
        <w:pStyle w:val="PreformattedText"/>
        <w:bidi w:val="0"/>
        <w:spacing w:before="0" w:after="0"/>
        <w:jc w:val="left"/>
        <w:rPr/>
      </w:pPr>
      <w:r>
        <w:rPr/>
        <w:t>could do if personally present by one of its authorized</w:t>
      </w:r>
    </w:p>
    <w:p>
      <w:pPr>
        <w:pStyle w:val="PreformattedText"/>
        <w:bidi w:val="0"/>
        <w:spacing w:before="0" w:after="0"/>
        <w:jc w:val="left"/>
        <w:rPr/>
      </w:pPr>
      <w:r>
        <w:rPr/>
        <w:t>signatories, hereby ratifying and confirming all that said</w:t>
      </w:r>
    </w:p>
    <w:p>
      <w:pPr>
        <w:pStyle w:val="PreformattedText"/>
        <w:bidi w:val="0"/>
        <w:spacing w:before="0" w:after="0"/>
        <w:jc w:val="left"/>
        <w:rPr/>
      </w:pPr>
      <w:r>
        <w:rPr/>
        <w:t>attorney-in-fact shall lawfully do or cause to be done by</w:t>
      </w:r>
    </w:p>
    <w:p>
      <w:pPr>
        <w:pStyle w:val="PreformattedText"/>
        <w:bidi w:val="0"/>
        <w:spacing w:before="0" w:after="0"/>
        <w:jc w:val="left"/>
        <w:rPr/>
      </w:pPr>
      <w:r>
        <w:rPr/>
        <w:t>virtue hereof. Any such determination by an attorney-in-fact</w:t>
      </w:r>
    </w:p>
    <w:p>
      <w:pPr>
        <w:pStyle w:val="PreformattedText"/>
        <w:bidi w:val="0"/>
        <w:spacing w:before="0" w:after="0"/>
        <w:jc w:val="left"/>
        <w:rPr/>
      </w:pPr>
      <w:r>
        <w:rPr/>
        <w:t>named herein shall be conclusively evidenced by such person's</w:t>
      </w:r>
    </w:p>
    <w:p>
      <w:pPr>
        <w:pStyle w:val="PreformattedText"/>
        <w:bidi w:val="0"/>
        <w:spacing w:before="0" w:after="0"/>
        <w:jc w:val="left"/>
        <w:rPr/>
      </w:pPr>
      <w:r>
        <w:rPr/>
        <w:t>execution, delivery, furnishing or filing of the applicable</w:t>
      </w:r>
    </w:p>
    <w:p>
      <w:pPr>
        <w:pStyle w:val="PreformattedText"/>
        <w:bidi w:val="0"/>
        <w:spacing w:before="0" w:after="0"/>
        <w:jc w:val="left"/>
        <w:rPr/>
      </w:pPr>
      <w:r>
        <w:rPr/>
        <w:t>document. This power of attorney shall be valid from the date</w:t>
      </w:r>
    </w:p>
    <w:p>
      <w:pPr>
        <w:pStyle w:val="PreformattedText"/>
        <w:bidi w:val="0"/>
        <w:spacing w:before="0" w:after="0"/>
        <w:jc w:val="left"/>
        <w:rPr/>
      </w:pPr>
      <w:r>
        <w:rPr/>
        <w:t>hereof and shall remain in full force and effect until either</w:t>
      </w:r>
    </w:p>
    <w:p>
      <w:pPr>
        <w:pStyle w:val="PreformattedText"/>
        <w:bidi w:val="0"/>
        <w:spacing w:before="0" w:after="0"/>
        <w:jc w:val="left"/>
        <w:rPr/>
      </w:pPr>
      <w:r>
        <w:rPr/>
        <w:t>revoked in writing by the Company, or, in respect of any</w:t>
      </w:r>
    </w:p>
    <w:p>
      <w:pPr>
        <w:pStyle w:val="PreformattedText"/>
        <w:bidi w:val="0"/>
        <w:spacing w:before="0" w:after="0"/>
        <w:jc w:val="left"/>
        <w:rPr/>
      </w:pPr>
      <w:r>
        <w:rPr/>
        <w:t>attorney-in-fact named herein, until such person ceases to</w:t>
      </w:r>
    </w:p>
    <w:p>
      <w:pPr>
        <w:pStyle w:val="PreformattedText"/>
        <w:bidi w:val="0"/>
        <w:spacing w:before="0" w:after="0"/>
        <w:jc w:val="left"/>
        <w:rPr/>
      </w:pPr>
      <w:r>
        <w:rPr/>
        <w:t>be an employee of the Company or one of its affiliates.</w:t>
      </w:r>
    </w:p>
    <w:p>
      <w:pPr>
        <w:pStyle w:val="PreformattedText"/>
        <w:bidi w:val="0"/>
        <w:spacing w:before="0" w:after="0"/>
        <w:jc w:val="left"/>
        <w:rPr/>
      </w:pPr>
      <w:r>
        <w:rPr/>
        <w:t>IN WITNESS WHEREOF, the undersigned has caused this power</w:t>
      </w:r>
    </w:p>
    <w:p>
      <w:pPr>
        <w:pStyle w:val="PreformattedText"/>
        <w:bidi w:val="0"/>
        <w:spacing w:before="0" w:after="0"/>
        <w:jc w:val="left"/>
        <w:rPr/>
      </w:pPr>
      <w:r>
        <w:rPr/>
        <w:t>of attorney to be executed as of this 9th day of</w:t>
      </w:r>
    </w:p>
    <w:p>
      <w:pPr>
        <w:pStyle w:val="PreformattedText"/>
        <w:bidi w:val="0"/>
        <w:spacing w:before="0" w:after="0"/>
        <w:jc w:val="left"/>
        <w:rPr/>
      </w:pPr>
      <w:r>
        <w:rPr/>
        <w:t>December, 2022. Janus Henderson Group Ltd.</w:t>
      </w:r>
    </w:p>
    <w:p>
      <w:pPr>
        <w:pStyle w:val="PreformattedText"/>
        <w:bidi w:val="0"/>
        <w:spacing w:before="0" w:after="0"/>
        <w:jc w:val="left"/>
        <w:rPr/>
      </w:pPr>
      <w:r>
        <w:rPr/>
        <w:t>By: /s/ Michelle Rosenberg</w:t>
      </w:r>
    </w:p>
    <w:p>
      <w:pPr>
        <w:pStyle w:val="PreformattedText"/>
        <w:bidi w:val="0"/>
        <w:spacing w:before="0" w:after="0"/>
        <w:jc w:val="left"/>
        <w:rPr/>
      </w:pPr>
      <w:r>
        <w:rPr/>
        <w:t>Name: Michelle Rosenberg</w:t>
      </w:r>
    </w:p>
    <w:p>
      <w:pPr>
        <w:pStyle w:val="PreformattedText"/>
        <w:bidi w:val="0"/>
        <w:spacing w:before="0" w:after="283"/>
        <w:jc w:val="left"/>
        <w:rPr/>
      </w:pPr>
      <w:r>
        <w:rPr/>
        <w:t>Title: General Counsel and Company Secretary</w:t>
      </w:r>
    </w:p>
    <w:p>
      <w:pPr>
        <w:pStyle w:val="PreformattedText"/>
        <w:bidi w:val="0"/>
        <w:jc w:val="left"/>
        <w:rPr/>
      </w:pPr>
      <w:bookmarkStart w:id="18" w:name="Item_7.txt"/>
      <w:bookmarkStart w:id="19" w:name="ksItem_7"/>
      <w:bookmarkEnd w:id="18"/>
      <w:bookmarkEnd w:id="19"/>
      <w:r>
        <w:rPr/>
        <w:t>The Asset Managers on whose behalf JHG is reporting include:</w:t>
      </w:r>
      <w:r>
        <w:br w:type="page"/>
      </w:r>
    </w:p>
    <w:p>
      <w:pPr>
        <w:pStyle w:val="PreformattedText"/>
        <w:bidi w:val="0"/>
        <w:spacing w:before="0" w:after="0"/>
        <w:jc w:val="left"/>
        <w:rPr/>
      </w:pPr>
      <w:r>
        <w:rPr/>
        <w:t>Janus Henderson Investors US LLC (IA)</w:t>
      </w:r>
    </w:p>
    <w:p>
      <w:pPr>
        <w:pStyle w:val="PreformattedText"/>
        <w:bidi w:val="0"/>
        <w:spacing w:before="0" w:after="0"/>
        <w:jc w:val="left"/>
        <w:rPr/>
      </w:pPr>
      <w:r>
        <w:rPr/>
        <w:t>Janus Henderson Investors UK Limited (FI)</w:t>
      </w:r>
    </w:p>
    <w:p>
      <w:pPr>
        <w:pStyle w:val="PreformattedText"/>
        <w:bidi w:val="0"/>
        <w:spacing w:before="0" w:after="0"/>
        <w:jc w:val="left"/>
        <w:rPr/>
      </w:pPr>
      <w:r>
        <w:rPr/>
        <w:t>Janus Henderson Investors Australia Institutional Funds Management Limited (FI)</w:t>
      </w:r>
    </w:p>
    <w:p>
      <w:pPr>
        <w:pStyle w:val="PreformattedText"/>
        <w:bidi w:val="0"/>
        <w:spacing w:before="0" w:after="0"/>
        <w:jc w:val="left"/>
        <w:rPr/>
      </w:pPr>
      <w:r>
        <w:rPr/>
        <w:t>Janus Henderson Investors International Limited (FI)</w:t>
      </w:r>
    </w:p>
    <w:p>
      <w:pPr>
        <w:pStyle w:val="PreformattedText"/>
        <w:bidi w:val="0"/>
        <w:spacing w:before="0" w:after="0"/>
        <w:jc w:val="left"/>
        <w:rPr/>
      </w:pPr>
      <w:r>
        <w:rPr/>
        <w:t>Janus Henderson Investors Middle East Limited (FI)</w:t>
      </w:r>
    </w:p>
    <w:p>
      <w:pPr>
        <w:pStyle w:val="PreformattedText"/>
        <w:bidi w:val="0"/>
        <w:spacing w:before="0" w:after="0"/>
        <w:jc w:val="left"/>
        <w:rPr/>
      </w:pPr>
      <w:r>
        <w:rPr/>
        <w:t>Janus Henderson Investors (Jersey) Limited (FI)</w:t>
      </w:r>
    </w:p>
    <w:p>
      <w:pPr>
        <w:pStyle w:val="PreformattedText"/>
        <w:bidi w:val="0"/>
        <w:spacing w:before="0" w:after="0"/>
        <w:jc w:val="left"/>
        <w:rPr/>
      </w:pPr>
      <w:r>
        <w:rPr/>
        <w:t>Janus Henderson Investors (Japan) Limited (FI)</w:t>
      </w:r>
    </w:p>
    <w:p>
      <w:pPr>
        <w:pStyle w:val="PreformattedText"/>
        <w:bidi w:val="0"/>
        <w:spacing w:before="0" w:after="0"/>
        <w:jc w:val="left"/>
        <w:rPr/>
      </w:pPr>
      <w:r>
        <w:rPr/>
        <w:t>Janus Henderson Investors (Singapore) Limited (FI)</w:t>
      </w:r>
    </w:p>
    <w:p>
      <w:pPr>
        <w:pStyle w:val="PreformattedText"/>
        <w:bidi w:val="0"/>
        <w:spacing w:before="0" w:after="0"/>
        <w:jc w:val="left"/>
        <w:rPr/>
      </w:pPr>
      <w:r>
        <w:rPr/>
        <w:t>Kapstream Capital Pty Limited (FI)</w:t>
      </w:r>
    </w:p>
    <w:p>
      <w:pPr>
        <w:pStyle w:val="PreformattedText"/>
        <w:bidi w:val="0"/>
        <w:spacing w:before="0" w:after="0"/>
        <w:jc w:val="left"/>
        <w:rPr/>
      </w:pPr>
      <w:r>
        <w:rPr/>
        <w:t>Privacore Capital Advisors LLC (FI)</w:t>
      </w:r>
    </w:p>
    <w:p>
      <w:pPr>
        <w:pStyle w:val="PreformattedText"/>
        <w:bidi w:val="0"/>
        <w:spacing w:before="0" w:after="0"/>
        <w:jc w:val="left"/>
        <w:rPr/>
      </w:pPr>
      <w:r>
        <w:rPr/>
        <w:t>Tabula Investment Management Limited (FI)</w:t>
      </w:r>
    </w:p>
    <w:p>
      <w:pPr>
        <w:pStyle w:val="PreformattedText"/>
        <w:bidi w:val="0"/>
        <w:spacing w:before="0" w:after="0"/>
        <w:jc w:val="left"/>
        <w:rPr/>
      </w:pPr>
      <w:r>
        <w:rPr/>
        <w:t>Victory Park Capital Advisors LLC (IA)</w:t>
      </w:r>
    </w:p>
    <w:p>
      <w:pPr>
        <w:pStyle w:val="PreformattedText"/>
        <w:bidi w:val="0"/>
        <w:spacing w:before="0" w:after="0"/>
        <w:jc w:val="left"/>
        <w:rPr/>
      </w:pPr>
      <w:r>
        <w:rPr/>
        <w:t>Richard Bernstein Advisors LLC (IA)</w:t>
      </w:r>
    </w:p>
    <w:p>
      <w:pPr>
        <w:pStyle w:val="PreformattedText"/>
        <w:bidi w:val="0"/>
        <w:spacing w:before="0" w:after="0"/>
        <w:jc w:val="left"/>
        <w:rPr/>
      </w:pPr>
      <w:r>
        <w:rPr/>
      </w:r>
    </w:p>
    <w:p>
      <w:pPr>
        <w:pStyle w:val="PreformattedText"/>
        <w:bidi w:val="0"/>
        <w:spacing w:before="0" w:after="0"/>
        <w:jc w:val="left"/>
        <w:rPr/>
      </w:pPr>
      <w:r>
        <w:rPr/>
        <w:t>Please note that not every Asset Manager has investment and/or voting discretion</w:t>
      </w:r>
    </w:p>
    <w:p>
      <w:pPr>
        <w:pStyle w:val="PreformattedText"/>
        <w:bidi w:val="0"/>
        <w:spacing w:before="0" w:after="283"/>
        <w:jc w:val="left"/>
        <w:rPr/>
      </w:pPr>
      <w:r>
        <w:rPr/>
        <w:t>over the securities reported herein.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1808</Words>
  <Characters>9686</Characters>
  <CharactersWithSpaces>11427</CharactersWithSpaces>
  <Paragraphs>220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