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1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-224790</wp:posOffset>
            </wp:positionV>
            <wp:extent cx="121920" cy="1219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" cy="121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40"/>
        <w:spacing w:after="0" w:line="22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-654685</wp:posOffset>
            </wp:positionV>
            <wp:extent cx="121920" cy="1219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" cy="121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0"/>
        </w:trPr>
        <w:tc>
          <w:tcPr>
            <w:tcW w:w="6260" w:type="dxa"/>
            <w:vAlign w:val="bottom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5241925</wp:posOffset>
            </wp:positionH>
            <wp:positionV relativeFrom="paragraph">
              <wp:posOffset>-622935</wp:posOffset>
            </wp:positionV>
            <wp:extent cx="57785" cy="63627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3963670</wp:posOffset>
            </wp:positionH>
            <wp:positionV relativeFrom="paragraph">
              <wp:posOffset>-622935</wp:posOffset>
            </wp:positionV>
            <wp:extent cx="57785" cy="6362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-1661160</wp:posOffset>
            </wp:positionH>
            <wp:positionV relativeFrom="paragraph">
              <wp:posOffset>739140</wp:posOffset>
            </wp:positionV>
            <wp:extent cx="7046595" cy="4714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714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7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80"/>
            <w:col w:w="848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6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6"/>
                </w:rPr>
                <w:t>Smith Cynthia</w:t>
              </w:r>
            </w:hyperlink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Protara Therapeutics,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TARA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PROTARA THERAPEUTICS, INC.</w:t>
            </w:r>
          </w:p>
        </w:tc>
        <w:tc>
          <w:tcPr>
            <w:tcW w:w="2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345 PARK AVENUE SOUTH, 3RD FLOOR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8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8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10010</w:t>
            </w: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7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8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66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79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05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3.94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2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06/15/2026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31,000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06/15/2027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06/14/2036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31,000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31,000</w:t>
            </w: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91"/>
        </w:trPr>
        <w:tc>
          <w:tcPr>
            <w:tcW w:w="680" w:type="dxa"/>
            <w:vAlign w:val="bottom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40" w:right="200" w:firstLine="1"/>
        <w:spacing w:after="0" w:line="253" w:lineRule="auto"/>
        <w:tabs>
          <w:tab w:leader="none" w:pos="168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shares subject to the Annual Grant will vest in full upon the first anniversary of the date of grant, subject to the Eligible Director's continuous service as a member of the Board through such vesting date and will vest in full upon a Change of Control.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600"/>
        <w:spacing w:after="0" w:line="22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Mary Grendell, Attorney-in-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06/16/2026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-26670</wp:posOffset>
            </wp:positionV>
            <wp:extent cx="133413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41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-20955</wp:posOffset>
            </wp:positionV>
            <wp:extent cx="15875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7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-86360</wp:posOffset>
            </wp:positionV>
            <wp:extent cx="48196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9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jc w:val="both"/>
        <w:ind w:left="40" w:right="3640" w:firstLine="1"/>
        <w:spacing w:after="0" w:line="334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609480" TargetMode="External"/><Relationship Id="rId14" Type="http://schemas.openxmlformats.org/officeDocument/2006/relationships/hyperlink" Target="http://www.sec.gov/cgi-bin/browse-edgar?action=getcompany&amp;CIK=000135993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2026-06-16T15:08:22Z</dcterms:created>
  <dcterms:modified xsi:type="dcterms:W3CDTF">2026-06-16T15:08:22Z</dcterms:modified>
</cp:coreProperties>
</file>