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caps w:val="false"/>
          <w:smallCaps w:val="false"/>
          <w:bdr w:val="single" w:sz="16" w:space="1" w:color="000000"/>
        </w:rPr>
      </w:pPr>
      <w:bookmarkStart w:id="0" w:name="ea0298600-10q_protara.htm"/>
      <w:bookmarkStart w:id="1" w:name="ksea029860010q_protara"/>
      <w:bookmarkEnd w:id="0"/>
      <w:bookmarkEnd w:id="1"/>
      <w:r>
        <w:rPr>
          <w:caps w:val="false"/>
          <w:smallCaps w:val="false"/>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10-Q</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 One)</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QUARTERLY REPORT 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quarterly period ended June 30,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TRANSITION REPORT 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 the transition period from            to</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001-36694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Protara Therapeutics,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4405" w:type="dxa"/>
        <w:jc w:val="left"/>
        <w:tblInd w:w="0" w:type="dxa"/>
        <w:tblLayout w:type="fixed"/>
        <w:tblCellMar>
          <w:top w:w="0" w:type="dxa"/>
          <w:left w:w="0" w:type="dxa"/>
          <w:bottom w:w="28" w:type="dxa"/>
          <w:right w:w="0" w:type="dxa"/>
        </w:tblCellMar>
      </w:tblPr>
      <w:tblGrid>
        <w:gridCol w:w="2690"/>
        <w:gridCol w:w="90"/>
        <w:gridCol w:w="1625"/>
      </w:tblGrid>
      <w:tr>
        <w:trPr/>
        <w:tc>
          <w:tcPr>
            <w:tcW w:w="269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Delaware</w:t>
            </w:r>
          </w:p>
        </w:tc>
        <w:tc>
          <w:tcPr>
            <w:tcW w:w="90" w:type="dxa"/>
            <w:tcBorders/>
            <w:tcMar>
              <w:bottom w:w="0" w:type="dxa"/>
            </w:tcMar>
            <w:vAlign w:val="center"/>
          </w:tcPr>
          <w:p>
            <w:pPr>
              <w:pStyle w:val="TableContents"/>
              <w:bidi w:val="0"/>
              <w:spacing w:before="0" w:after="283"/>
              <w:jc w:val="center"/>
              <w:rPr/>
            </w:pPr>
            <w:r>
              <w:rPr/>
              <w:t> </w:t>
            </w:r>
          </w:p>
        </w:tc>
        <w:tc>
          <w:tcPr>
            <w:tcW w:w="162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20-4580525</w:t>
            </w:r>
          </w:p>
        </w:tc>
      </w:tr>
      <w:tr>
        <w:trPr/>
        <w:tc>
          <w:tcPr>
            <w:tcW w:w="2690"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(State or other jurisdiction of</w:t>
              <w:br/>
              <w:t>incorporation or organization)</w:t>
            </w:r>
          </w:p>
        </w:tc>
        <w:tc>
          <w:tcPr>
            <w:tcW w:w="90" w:type="dxa"/>
            <w:tcBorders/>
            <w:tcMar>
              <w:bottom w:w="0" w:type="dxa"/>
            </w:tcMar>
            <w:vAlign w:val="center"/>
          </w:tcPr>
          <w:p>
            <w:pPr>
              <w:pStyle w:val="TableContents"/>
              <w:bidi w:val="0"/>
              <w:spacing w:before="0" w:after="283"/>
              <w:jc w:val="center"/>
              <w:rPr/>
            </w:pPr>
            <w:r>
              <w:rPr/>
              <w:t> </w:t>
            </w:r>
          </w:p>
        </w:tc>
        <w:tc>
          <w:tcPr>
            <w:tcW w:w="1625"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(I.R.S. Employer</w:t>
              <w:b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345 Park Avenue South</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r>
        <w:rPr>
          <w:rFonts w:ascii="Times New Roman;Times;Serif" w:hAnsi="Times New Roman;Times;Serif"/>
          <w:b/>
          <w:i w:val="false"/>
          <w:caps w:val="false"/>
          <w:smallCaps w:val="false"/>
          <w:position w:val="7"/>
          <w:sz w:val="16"/>
          <w:sz w:val="20"/>
        </w:rPr>
        <w:t xml:space="preserve">rd </w:t>
      </w:r>
      <w:r>
        <w:rPr>
          <w:rFonts w:ascii="Times New Roman;Times;Serif" w:hAnsi="Times New Roman;Times;Serif"/>
          <w:b/>
          <w:i w:val="false"/>
          <w:caps w:val="false"/>
          <w:smallCaps w:val="false"/>
          <w:sz w:val="20"/>
        </w:rPr>
        <w:t>Floor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10010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(646) 844-0337</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9135" w:type="dxa"/>
        <w:jc w:val="left"/>
        <w:tblInd w:w="0" w:type="dxa"/>
        <w:tblLayout w:type="fixed"/>
        <w:tblCellMar>
          <w:top w:w="0" w:type="dxa"/>
          <w:left w:w="0" w:type="dxa"/>
          <w:bottom w:w="28" w:type="dxa"/>
          <w:right w:w="0" w:type="dxa"/>
        </w:tblCellMar>
      </w:tblPr>
      <w:tblGrid>
        <w:gridCol w:w="3545"/>
        <w:gridCol w:w="90"/>
        <w:gridCol w:w="1640"/>
        <w:gridCol w:w="90"/>
        <w:gridCol w:w="3770"/>
      </w:tblGrid>
      <w:tr>
        <w:trPr/>
        <w:tc>
          <w:tcPr>
            <w:tcW w:w="354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90" w:type="dxa"/>
            <w:tcBorders/>
            <w:tcMar>
              <w:bottom w:w="0" w:type="dxa"/>
            </w:tcMar>
            <w:vAlign w:val="center"/>
          </w:tcPr>
          <w:p>
            <w:pPr>
              <w:pStyle w:val="TableContents"/>
              <w:bidi w:val="0"/>
              <w:spacing w:before="0" w:after="283"/>
              <w:jc w:val="left"/>
              <w:rPr/>
            </w:pPr>
            <w:r>
              <w:rPr/>
              <w:t> </w:t>
            </w:r>
          </w:p>
        </w:tc>
        <w:tc>
          <w:tcPr>
            <w:tcW w:w="164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Symbol(s)</w:t>
            </w:r>
          </w:p>
        </w:tc>
        <w:tc>
          <w:tcPr>
            <w:tcW w:w="90" w:type="dxa"/>
            <w:tcBorders/>
            <w:tcMar>
              <w:bottom w:w="0" w:type="dxa"/>
            </w:tcMar>
            <w:vAlign w:val="center"/>
          </w:tcPr>
          <w:p>
            <w:pPr>
              <w:pStyle w:val="TableContents"/>
              <w:bidi w:val="0"/>
              <w:spacing w:before="0" w:after="283"/>
              <w:jc w:val="left"/>
              <w:rPr/>
            </w:pPr>
            <w:r>
              <w:rPr/>
              <w:t> </w:t>
            </w:r>
          </w:p>
        </w:tc>
        <w:tc>
          <w:tcPr>
            <w:tcW w:w="377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354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Common Stock, $0.001 par value per share</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64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TARA</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37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The Nasdaq Global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firstLine="720"/>
        <w:jc w:val="both"/>
        <w:rPr>
          <w:caps w:val="false"/>
          <w:smallCaps w:val="false"/>
        </w:rPr>
      </w:pPr>
      <w:r>
        <w:rPr>
          <w:caps w:val="false"/>
          <w:smallCaps w:val="false"/>
        </w:rPr>
        <w:t> </w:t>
      </w:r>
    </w:p>
    <w:tbl>
      <w:tblPr>
        <w:tblW w:w="5420" w:type="dxa"/>
        <w:jc w:val="left"/>
        <w:tblInd w:w="0" w:type="dxa"/>
        <w:tblLayout w:type="fixed"/>
        <w:tblCellMar>
          <w:top w:w="0" w:type="dxa"/>
          <w:left w:w="0" w:type="dxa"/>
          <w:bottom w:w="0" w:type="dxa"/>
          <w:right w:w="0" w:type="dxa"/>
        </w:tblCellMar>
      </w:tblPr>
      <w:tblGrid>
        <w:gridCol w:w="2315"/>
        <w:gridCol w:w="260"/>
        <w:gridCol w:w="90"/>
        <w:gridCol w:w="2300"/>
        <w:gridCol w:w="320"/>
        <w:gridCol w:w="135"/>
      </w:tblGrid>
      <w:tr>
        <w:trPr/>
        <w:tc>
          <w:tcPr>
            <w:tcW w:w="23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Large accelerated filer </w:t>
            </w:r>
          </w:p>
        </w:tc>
        <w:tc>
          <w:tcPr>
            <w:tcW w:w="260"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both"/>
              <w:rPr/>
            </w:pPr>
            <w:r>
              <w:rPr/>
              <w:t> </w:t>
            </w:r>
          </w:p>
        </w:tc>
        <w:tc>
          <w:tcPr>
            <w:tcW w:w="23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Accelerated filer </w:t>
            </w:r>
          </w:p>
        </w:tc>
        <w:tc>
          <w:tcPr>
            <w:tcW w:w="320" w:type="dxa"/>
            <w:tcBorders/>
            <w:vAlign w:val="center"/>
          </w:tcPr>
          <w:p>
            <w:pPr>
              <w:pStyle w:val="TableContents"/>
              <w:bidi w:val="0"/>
              <w:spacing w:before="0" w:after="283"/>
              <w:jc w:val="left"/>
              <w:rPr/>
            </w:pPr>
            <w:r>
              <w:rPr/>
              <w:t>☐</w:t>
            </w:r>
          </w:p>
        </w:tc>
        <w:tc>
          <w:tcPr>
            <w:tcW w:w="135" w:type="dxa"/>
            <w:tcBorders/>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Non-accelerated filer </w:t>
            </w:r>
          </w:p>
        </w:tc>
        <w:tc>
          <w:tcPr>
            <w:tcW w:w="260"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both"/>
              <w:rPr/>
            </w:pPr>
            <w:r>
              <w:rPr/>
              <w:t> </w:t>
            </w:r>
          </w:p>
        </w:tc>
        <w:tc>
          <w:tcPr>
            <w:tcW w:w="23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Smaller reporting company </w:t>
            </w:r>
          </w:p>
        </w:tc>
        <w:tc>
          <w:tcPr>
            <w:tcW w:w="32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Emerging growth company </w:t>
            </w:r>
          </w:p>
        </w:tc>
        <w:tc>
          <w:tcPr>
            <w:tcW w:w="260"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both"/>
              <w:rPr/>
            </w:pPr>
            <w:r>
              <w:rPr/>
              <w:t> </w:t>
            </w:r>
          </w:p>
        </w:tc>
        <w:tc>
          <w:tcPr>
            <w:tcW w:w="2300" w:type="dxa"/>
            <w:tcBorders/>
            <w:vAlign w:val="center"/>
          </w:tcPr>
          <w:p>
            <w:pPr>
              <w:pStyle w:val="TableContents"/>
              <w:bidi w:val="0"/>
              <w:spacing w:before="0" w:after="283"/>
              <w:jc w:val="both"/>
              <w:rPr/>
            </w:pPr>
            <w:r>
              <w:rPr/>
              <w:t> </w:t>
            </w:r>
          </w:p>
        </w:tc>
        <w:tc>
          <w:tcPr>
            <w:tcW w:w="32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shell company (as defined in Rule 12b-2 of the Exchange Act). 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August 7, 2026 there were 59,095,488 shares of the registrant’s common stock, par value $0.001 per share,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6"/>
        <w:gridCol w:w="9038"/>
        <w:gridCol w:w="561"/>
      </w:tblGrid>
      <w:tr>
        <w:trPr/>
        <w:tc>
          <w:tcPr>
            <w:tcW w:w="606" w:type="dxa"/>
            <w:tcBorders/>
            <w:vAlign w:val="center"/>
          </w:tcPr>
          <w:p>
            <w:pPr>
              <w:pStyle w:val="TableContents"/>
              <w:bidi w:val="0"/>
              <w:spacing w:before="0" w:after="283"/>
              <w:ind w:left="0" w:right="0" w:hanging="180"/>
              <w:jc w:val="left"/>
              <w:rPr/>
            </w:pPr>
            <w:r>
              <w:rPr/>
              <w:t> </w:t>
            </w:r>
          </w:p>
        </w:tc>
        <w:tc>
          <w:tcPr>
            <w:tcW w:w="9038" w:type="dxa"/>
            <w:tcBorders/>
            <w:vAlign w:val="center"/>
          </w:tcPr>
          <w:p>
            <w:pPr>
              <w:pStyle w:val="TableContents"/>
              <w:bidi w:val="0"/>
              <w:spacing w:before="0" w:after="283"/>
              <w:jc w:val="left"/>
              <w:rPr/>
            </w:pPr>
            <w:r>
              <w:rPr/>
              <w:t> </w:t>
            </w:r>
          </w:p>
        </w:tc>
        <w:tc>
          <w:tcPr>
            <w:tcW w:w="561"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b/>
                <w:sz w:val="20"/>
              </w:rPr>
              <w:t>Page</w:t>
            </w:r>
            <w:r>
              <w:rPr>
                <w:rFonts w:ascii="Times New Roman;Times;Serif" w:hAnsi="Times New Roman;Times;Serif"/>
                <w:sz w:val="20"/>
              </w:rPr>
              <w:t> </w:t>
            </w:r>
          </w:p>
        </w:tc>
      </w:tr>
      <w:tr>
        <w:trPr/>
        <w:tc>
          <w:tcPr>
            <w:tcW w:w="606" w:type="dxa"/>
            <w:tcBorders/>
            <w:vAlign w:val="center"/>
          </w:tcPr>
          <w:p>
            <w:pPr>
              <w:pStyle w:val="TableContents"/>
              <w:bidi w:val="0"/>
              <w:spacing w:before="0" w:after="283"/>
              <w:ind w:left="0" w:right="0" w:hanging="180"/>
              <w:jc w:val="left"/>
              <w:rPr/>
            </w:pPr>
            <w:r>
              <w:rPr/>
              <w:t> </w:t>
            </w:r>
          </w:p>
        </w:tc>
        <w:tc>
          <w:tcPr>
            <w:tcW w:w="9038" w:type="dxa"/>
            <w:tcBorders/>
            <w:vAlign w:val="center"/>
          </w:tcPr>
          <w:p>
            <w:pPr>
              <w:pStyle w:val="TableContents"/>
              <w:bidi w:val="0"/>
              <w:spacing w:before="0" w:after="283"/>
              <w:jc w:val="left"/>
              <w:rPr/>
            </w:pPr>
            <w:r>
              <w:rPr/>
              <w:t> </w:t>
            </w:r>
          </w:p>
        </w:tc>
        <w:tc>
          <w:tcPr>
            <w:tcW w:w="561" w:type="dxa"/>
            <w:tcBorders/>
            <w:vAlign w:val="center"/>
          </w:tcPr>
          <w:p>
            <w:pPr>
              <w:pStyle w:val="TableContents"/>
              <w:bidi w:val="0"/>
              <w:spacing w:before="0" w:after="283"/>
              <w:jc w:val="center"/>
              <w:rPr/>
            </w:pPr>
            <w:r>
              <w:rPr/>
              <w:t> </w:t>
            </w:r>
          </w:p>
        </w:tc>
      </w:tr>
      <w:tr>
        <w:trPr/>
        <w:tc>
          <w:tcPr>
            <w:tcW w:w="9644" w:type="dxa"/>
            <w:gridSpan w:val="2"/>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b/>
                  <w:sz w:val="20"/>
                </w:rPr>
                <w:t>PART I – FINANCIAL INFORMATION</w:t>
              </w:r>
            </w:hyperlink>
          </w:p>
        </w:tc>
        <w:tc>
          <w:tcPr>
            <w:tcW w:w="561"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r>
      <w:tr>
        <w:trPr/>
        <w:tc>
          <w:tcPr>
            <w:tcW w:w="606"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1.</w:t>
            </w:r>
          </w:p>
        </w:tc>
        <w:tc>
          <w:tcPr>
            <w:tcW w:w="9038" w:type="dxa"/>
            <w:tcBorders/>
            <w:vAlign w:val="center"/>
          </w:tcPr>
          <w:p>
            <w:pPr>
              <w:pStyle w:val="TableContents"/>
              <w:bidi w:val="0"/>
              <w:spacing w:before="0" w:after="283"/>
              <w:jc w:val="left"/>
              <w:rPr/>
            </w:pPr>
            <w:hyperlink w:anchor="a_002">
              <w:r>
                <w:rPr>
                  <w:rStyle w:val="InternetLink"/>
                  <w:rFonts w:ascii="Times New Roman;Times;Serif" w:hAnsi="Times New Roman;Times;Serif"/>
                  <w:sz w:val="20"/>
                </w:rPr>
                <w:t>Condensed Consolidated Financial Statements</w:t>
              </w:r>
            </w:hyperlink>
          </w:p>
        </w:tc>
        <w:tc>
          <w:tcPr>
            <w:tcW w:w="561"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r>
      <w:tr>
        <w:trPr/>
        <w:tc>
          <w:tcPr>
            <w:tcW w:w="606" w:type="dxa"/>
            <w:tcBorders/>
            <w:shd w:fill="CCEEFF" w:val="clear"/>
            <w:vAlign w:val="center"/>
          </w:tcPr>
          <w:p>
            <w:pPr>
              <w:pStyle w:val="TableContents"/>
              <w:bidi w:val="0"/>
              <w:spacing w:before="0" w:after="283"/>
              <w:ind w:left="0" w:right="0" w:hanging="180"/>
              <w:jc w:val="left"/>
              <w:rPr/>
            </w:pPr>
            <w:r>
              <w:rPr/>
              <w:t> </w:t>
            </w:r>
          </w:p>
        </w:tc>
        <w:tc>
          <w:tcPr>
            <w:tcW w:w="9038"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sz w:val="20"/>
                </w:rPr>
                <w:t>Condensed Consolidated Balance Sheets as of June 30, 2026 and December 31, 2025 (unaudited)</w:t>
              </w:r>
            </w:hyperlink>
          </w:p>
        </w:tc>
        <w:tc>
          <w:tcPr>
            <w:tcW w:w="561"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r>
      <w:tr>
        <w:trPr/>
        <w:tc>
          <w:tcPr>
            <w:tcW w:w="606" w:type="dxa"/>
            <w:tcBorders/>
            <w:vAlign w:val="center"/>
          </w:tcPr>
          <w:p>
            <w:pPr>
              <w:pStyle w:val="TableContents"/>
              <w:bidi w:val="0"/>
              <w:spacing w:before="0" w:after="283"/>
              <w:ind w:left="0" w:right="0" w:hanging="180"/>
              <w:jc w:val="left"/>
              <w:rPr/>
            </w:pPr>
            <w:r>
              <w:rPr/>
              <w:t> </w:t>
            </w:r>
          </w:p>
        </w:tc>
        <w:tc>
          <w:tcPr>
            <w:tcW w:w="9038" w:type="dxa"/>
            <w:tcBorders/>
            <w:vAlign w:val="center"/>
          </w:tcPr>
          <w:p>
            <w:pPr>
              <w:pStyle w:val="TableContents"/>
              <w:bidi w:val="0"/>
              <w:spacing w:before="0" w:after="283"/>
              <w:jc w:val="left"/>
              <w:rPr/>
            </w:pPr>
            <w:hyperlink w:anchor="a_004">
              <w:r>
                <w:rPr>
                  <w:rStyle w:val="InternetLink"/>
                  <w:rFonts w:ascii="Times New Roman;Times;Serif" w:hAnsi="Times New Roman;Times;Serif"/>
                  <w:sz w:val="20"/>
                </w:rPr>
                <w:t>Condensed Consolidated Statements of Operations and Comprehensive Loss for the Three and Six Months ended June 30, 2026 and 2025 (unaudited)</w:t>
              </w:r>
            </w:hyperlink>
          </w:p>
        </w:tc>
        <w:tc>
          <w:tcPr>
            <w:tcW w:w="561"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w:t>
            </w:r>
          </w:p>
        </w:tc>
      </w:tr>
      <w:tr>
        <w:trPr/>
        <w:tc>
          <w:tcPr>
            <w:tcW w:w="606" w:type="dxa"/>
            <w:tcBorders/>
            <w:shd w:fill="CCEEFF" w:val="clear"/>
            <w:vAlign w:val="center"/>
          </w:tcPr>
          <w:p>
            <w:pPr>
              <w:pStyle w:val="TableContents"/>
              <w:bidi w:val="0"/>
              <w:spacing w:before="0" w:after="283"/>
              <w:ind w:left="0" w:right="0" w:hanging="180"/>
              <w:jc w:val="left"/>
              <w:rPr/>
            </w:pPr>
            <w:r>
              <w:rPr/>
              <w:t> </w:t>
            </w:r>
          </w:p>
        </w:tc>
        <w:tc>
          <w:tcPr>
            <w:tcW w:w="9038"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sz w:val="20"/>
                </w:rPr>
                <w:t>Condensed Consolidated Statements of Changes in Stockholders’ Equity for the Three and Six Months ended June 30, 2026 and 2025 (unaudited)</w:t>
              </w:r>
            </w:hyperlink>
          </w:p>
        </w:tc>
        <w:tc>
          <w:tcPr>
            <w:tcW w:w="561"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w:t>
            </w:r>
          </w:p>
        </w:tc>
      </w:tr>
      <w:tr>
        <w:trPr/>
        <w:tc>
          <w:tcPr>
            <w:tcW w:w="606" w:type="dxa"/>
            <w:tcBorders/>
            <w:vAlign w:val="center"/>
          </w:tcPr>
          <w:p>
            <w:pPr>
              <w:pStyle w:val="TableContents"/>
              <w:bidi w:val="0"/>
              <w:spacing w:before="0" w:after="283"/>
              <w:ind w:left="0" w:right="0" w:hanging="180"/>
              <w:jc w:val="left"/>
              <w:rPr/>
            </w:pPr>
            <w:r>
              <w:rPr/>
              <w:t> </w:t>
            </w:r>
          </w:p>
        </w:tc>
        <w:tc>
          <w:tcPr>
            <w:tcW w:w="9038" w:type="dxa"/>
            <w:tcBorders/>
            <w:vAlign w:val="center"/>
          </w:tcPr>
          <w:p>
            <w:pPr>
              <w:pStyle w:val="TableContents"/>
              <w:bidi w:val="0"/>
              <w:spacing w:before="0" w:after="283"/>
              <w:jc w:val="left"/>
              <w:rPr/>
            </w:pPr>
            <w:hyperlink w:anchor="a_006">
              <w:r>
                <w:rPr>
                  <w:rStyle w:val="InternetLink"/>
                  <w:rFonts w:ascii="Times New Roman;Times;Serif" w:hAnsi="Times New Roman;Times;Serif"/>
                  <w:sz w:val="20"/>
                </w:rPr>
                <w:t>Condensed Consolidated Statements of Cash Flows for the Six Months ended June 30, 2026 and 2025 (unaudited)</w:t>
              </w:r>
            </w:hyperlink>
          </w:p>
        </w:tc>
        <w:tc>
          <w:tcPr>
            <w:tcW w:w="561"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w:t>
            </w:r>
          </w:p>
        </w:tc>
      </w:tr>
      <w:tr>
        <w:trPr/>
        <w:tc>
          <w:tcPr>
            <w:tcW w:w="606" w:type="dxa"/>
            <w:tcBorders/>
            <w:shd w:fill="CCEEFF" w:val="clear"/>
            <w:vAlign w:val="center"/>
          </w:tcPr>
          <w:p>
            <w:pPr>
              <w:pStyle w:val="TableContents"/>
              <w:bidi w:val="0"/>
              <w:spacing w:before="0" w:after="283"/>
              <w:ind w:left="0" w:right="0" w:hanging="180"/>
              <w:jc w:val="left"/>
              <w:rPr/>
            </w:pPr>
            <w:r>
              <w:rPr/>
              <w:t> </w:t>
            </w:r>
          </w:p>
        </w:tc>
        <w:tc>
          <w:tcPr>
            <w:tcW w:w="9038" w:type="dxa"/>
            <w:tcBorders/>
            <w:shd w:fill="CCEEFF" w:val="clear"/>
            <w:vAlign w:val="center"/>
          </w:tcPr>
          <w:p>
            <w:pPr>
              <w:pStyle w:val="TableContents"/>
              <w:bidi w:val="0"/>
              <w:spacing w:before="0" w:after="283"/>
              <w:jc w:val="left"/>
              <w:rPr/>
            </w:pPr>
            <w:hyperlink w:anchor="a_007">
              <w:r>
                <w:rPr>
                  <w:rStyle w:val="InternetLink"/>
                  <w:rFonts w:ascii="Times New Roman;Times;Serif" w:hAnsi="Times New Roman;Times;Serif"/>
                  <w:sz w:val="20"/>
                </w:rPr>
                <w:t>Notes to Unaudited Condensed Consolidated Financial Statements</w:t>
              </w:r>
            </w:hyperlink>
          </w:p>
        </w:tc>
        <w:tc>
          <w:tcPr>
            <w:tcW w:w="561"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w:t>
            </w:r>
          </w:p>
        </w:tc>
      </w:tr>
      <w:tr>
        <w:trPr/>
        <w:tc>
          <w:tcPr>
            <w:tcW w:w="606"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2.</w:t>
            </w:r>
          </w:p>
        </w:tc>
        <w:tc>
          <w:tcPr>
            <w:tcW w:w="9038" w:type="dxa"/>
            <w:tcBorders/>
            <w:vAlign w:val="center"/>
          </w:tcPr>
          <w:p>
            <w:pPr>
              <w:pStyle w:val="TableContents"/>
              <w:bidi w:val="0"/>
              <w:spacing w:before="0" w:after="283"/>
              <w:jc w:val="left"/>
              <w:rPr/>
            </w:pPr>
            <w:hyperlink w:anchor="a_018">
              <w:r>
                <w:rPr>
                  <w:rStyle w:val="InternetLink"/>
                  <w:rFonts w:ascii="Times New Roman;Times;Serif" w:hAnsi="Times New Roman;Times;Serif"/>
                  <w:sz w:val="20"/>
                </w:rPr>
                <w:t>Management’s Discussion and Analysis of Financial Condition and Results of Operations</w:t>
              </w:r>
            </w:hyperlink>
          </w:p>
        </w:tc>
        <w:tc>
          <w:tcPr>
            <w:tcW w:w="561"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17</w:t>
            </w:r>
          </w:p>
        </w:tc>
      </w:tr>
      <w:tr>
        <w:trPr/>
        <w:tc>
          <w:tcPr>
            <w:tcW w:w="606"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3.</w:t>
            </w:r>
          </w:p>
        </w:tc>
        <w:tc>
          <w:tcPr>
            <w:tcW w:w="9038" w:type="dxa"/>
            <w:tcBorders/>
            <w:shd w:fill="CCEEFF" w:val="clear"/>
            <w:vAlign w:val="center"/>
          </w:tcPr>
          <w:p>
            <w:pPr>
              <w:pStyle w:val="TableContents"/>
              <w:bidi w:val="0"/>
              <w:spacing w:before="0" w:after="283"/>
              <w:jc w:val="left"/>
              <w:rPr/>
            </w:pPr>
            <w:hyperlink w:anchor="a_019">
              <w:r>
                <w:rPr>
                  <w:rStyle w:val="InternetLink"/>
                  <w:rFonts w:ascii="Times New Roman;Times;Serif" w:hAnsi="Times New Roman;Times;Serif"/>
                  <w:sz w:val="20"/>
                </w:rPr>
                <w:t>Quantitative and Qualitative Disclosures About Market Risk</w:t>
              </w:r>
            </w:hyperlink>
          </w:p>
        </w:tc>
        <w:tc>
          <w:tcPr>
            <w:tcW w:w="561"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27</w:t>
            </w:r>
          </w:p>
        </w:tc>
      </w:tr>
      <w:tr>
        <w:trPr/>
        <w:tc>
          <w:tcPr>
            <w:tcW w:w="606"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4.</w:t>
            </w:r>
          </w:p>
        </w:tc>
        <w:tc>
          <w:tcPr>
            <w:tcW w:w="9038" w:type="dxa"/>
            <w:tcBorders/>
            <w:vAlign w:val="center"/>
          </w:tcPr>
          <w:p>
            <w:pPr>
              <w:pStyle w:val="TableContents"/>
              <w:bidi w:val="0"/>
              <w:spacing w:before="0" w:after="283"/>
              <w:jc w:val="left"/>
              <w:rPr/>
            </w:pPr>
            <w:hyperlink w:anchor="a_020">
              <w:r>
                <w:rPr>
                  <w:rStyle w:val="InternetLink"/>
                  <w:rFonts w:ascii="Times New Roman;Times;Serif" w:hAnsi="Times New Roman;Times;Serif"/>
                  <w:sz w:val="20"/>
                </w:rPr>
                <w:t>Controls and Procedures</w:t>
              </w:r>
            </w:hyperlink>
          </w:p>
        </w:tc>
        <w:tc>
          <w:tcPr>
            <w:tcW w:w="561"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27</w:t>
            </w:r>
          </w:p>
        </w:tc>
      </w:tr>
      <w:tr>
        <w:trPr/>
        <w:tc>
          <w:tcPr>
            <w:tcW w:w="606" w:type="dxa"/>
            <w:tcBorders/>
            <w:shd w:fill="CCEEFF" w:val="clear"/>
            <w:vAlign w:val="center"/>
          </w:tcPr>
          <w:p>
            <w:pPr>
              <w:pStyle w:val="TableContents"/>
              <w:bidi w:val="0"/>
              <w:spacing w:before="0" w:after="283"/>
              <w:ind w:left="0" w:right="0" w:hanging="180"/>
              <w:jc w:val="left"/>
              <w:rPr/>
            </w:pPr>
            <w:r>
              <w:rPr/>
              <w:t> </w:t>
            </w:r>
          </w:p>
        </w:tc>
        <w:tc>
          <w:tcPr>
            <w:tcW w:w="9038" w:type="dxa"/>
            <w:tcBorders/>
            <w:shd w:fill="CCEEFF" w:val="clear"/>
            <w:vAlign w:val="center"/>
          </w:tcPr>
          <w:p>
            <w:pPr>
              <w:pStyle w:val="TableContents"/>
              <w:bidi w:val="0"/>
              <w:spacing w:before="0" w:after="283"/>
              <w:jc w:val="left"/>
              <w:rPr/>
            </w:pPr>
            <w:r>
              <w:rPr/>
              <w:t> </w:t>
            </w:r>
          </w:p>
        </w:tc>
        <w:tc>
          <w:tcPr>
            <w:tcW w:w="561" w:type="dxa"/>
            <w:tcBorders/>
            <w:shd w:fill="CCEEFF" w:val="clear"/>
            <w:vAlign w:val="center"/>
          </w:tcPr>
          <w:p>
            <w:pPr>
              <w:pStyle w:val="TableContents"/>
              <w:bidi w:val="0"/>
              <w:spacing w:before="0" w:after="283"/>
              <w:jc w:val="center"/>
              <w:rPr/>
            </w:pPr>
            <w:r>
              <w:rPr/>
              <w:t> </w:t>
            </w:r>
          </w:p>
        </w:tc>
      </w:tr>
      <w:tr>
        <w:trPr/>
        <w:tc>
          <w:tcPr>
            <w:tcW w:w="9644" w:type="dxa"/>
            <w:gridSpan w:val="2"/>
            <w:tcBorders/>
            <w:vAlign w:val="center"/>
          </w:tcPr>
          <w:p>
            <w:pPr>
              <w:pStyle w:val="TableContents"/>
              <w:bidi w:val="0"/>
              <w:spacing w:before="0" w:after="283"/>
              <w:jc w:val="left"/>
              <w:rPr/>
            </w:pPr>
            <w:hyperlink w:anchor="a_008">
              <w:r>
                <w:rPr>
                  <w:rStyle w:val="InternetLink"/>
                  <w:rFonts w:ascii="Times New Roman;Times;Serif" w:hAnsi="Times New Roman;Times;Serif"/>
                  <w:b/>
                  <w:sz w:val="20"/>
                </w:rPr>
                <w:t>PART II – OTHER INFORMATION</w:t>
              </w:r>
            </w:hyperlink>
          </w:p>
        </w:tc>
        <w:tc>
          <w:tcPr>
            <w:tcW w:w="561"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28</w:t>
            </w:r>
          </w:p>
        </w:tc>
      </w:tr>
      <w:tr>
        <w:trPr/>
        <w:tc>
          <w:tcPr>
            <w:tcW w:w="606"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1.</w:t>
            </w:r>
          </w:p>
        </w:tc>
        <w:tc>
          <w:tcPr>
            <w:tcW w:w="9038" w:type="dxa"/>
            <w:tcBorders/>
            <w:shd w:fill="CCEEFF" w:val="clear"/>
            <w:vAlign w:val="center"/>
          </w:tcPr>
          <w:p>
            <w:pPr>
              <w:pStyle w:val="TableContents"/>
              <w:bidi w:val="0"/>
              <w:spacing w:before="0" w:after="283"/>
              <w:jc w:val="left"/>
              <w:rPr/>
            </w:pPr>
            <w:hyperlink w:anchor="a_009">
              <w:r>
                <w:rPr>
                  <w:rStyle w:val="InternetLink"/>
                  <w:rFonts w:ascii="Times New Roman;Times;Serif" w:hAnsi="Times New Roman;Times;Serif"/>
                  <w:sz w:val="20"/>
                </w:rPr>
                <w:t>Legal Proceedings</w:t>
              </w:r>
            </w:hyperlink>
          </w:p>
        </w:tc>
        <w:tc>
          <w:tcPr>
            <w:tcW w:w="561"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28</w:t>
            </w:r>
          </w:p>
        </w:tc>
      </w:tr>
      <w:tr>
        <w:trPr/>
        <w:tc>
          <w:tcPr>
            <w:tcW w:w="606"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1A.</w:t>
            </w:r>
          </w:p>
        </w:tc>
        <w:tc>
          <w:tcPr>
            <w:tcW w:w="9038" w:type="dxa"/>
            <w:tcBorders/>
            <w:vAlign w:val="center"/>
          </w:tcPr>
          <w:p>
            <w:pPr>
              <w:pStyle w:val="TableContents"/>
              <w:bidi w:val="0"/>
              <w:spacing w:before="0" w:after="283"/>
              <w:jc w:val="left"/>
              <w:rPr/>
            </w:pPr>
            <w:hyperlink w:anchor="a_010">
              <w:r>
                <w:rPr>
                  <w:rStyle w:val="InternetLink"/>
                  <w:rFonts w:ascii="Times New Roman;Times;Serif" w:hAnsi="Times New Roman;Times;Serif"/>
                  <w:sz w:val="20"/>
                </w:rPr>
                <w:t>Risk Factors</w:t>
              </w:r>
            </w:hyperlink>
          </w:p>
        </w:tc>
        <w:tc>
          <w:tcPr>
            <w:tcW w:w="561"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28</w:t>
            </w:r>
          </w:p>
        </w:tc>
      </w:tr>
      <w:tr>
        <w:trPr/>
        <w:tc>
          <w:tcPr>
            <w:tcW w:w="606"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2.</w:t>
            </w:r>
          </w:p>
        </w:tc>
        <w:tc>
          <w:tcPr>
            <w:tcW w:w="9038" w:type="dxa"/>
            <w:tcBorders/>
            <w:shd w:fill="CCEEFF" w:val="clear"/>
            <w:vAlign w:val="center"/>
          </w:tcPr>
          <w:p>
            <w:pPr>
              <w:pStyle w:val="TableContents"/>
              <w:bidi w:val="0"/>
              <w:spacing w:before="0" w:after="283"/>
              <w:jc w:val="left"/>
              <w:rPr/>
            </w:pPr>
            <w:hyperlink w:anchor="a_011">
              <w:r>
                <w:rPr>
                  <w:rStyle w:val="InternetLink"/>
                  <w:rFonts w:ascii="Times New Roman;Times;Serif" w:hAnsi="Times New Roman;Times;Serif"/>
                  <w:sz w:val="20"/>
                </w:rPr>
                <w:t>Unregistered Sales of Equity Securities and Use of Proceeds</w:t>
              </w:r>
            </w:hyperlink>
          </w:p>
        </w:tc>
        <w:tc>
          <w:tcPr>
            <w:tcW w:w="561"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28</w:t>
            </w:r>
          </w:p>
        </w:tc>
      </w:tr>
      <w:tr>
        <w:trPr/>
        <w:tc>
          <w:tcPr>
            <w:tcW w:w="606"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3.</w:t>
            </w:r>
          </w:p>
        </w:tc>
        <w:tc>
          <w:tcPr>
            <w:tcW w:w="9038" w:type="dxa"/>
            <w:tcBorders/>
            <w:vAlign w:val="center"/>
          </w:tcPr>
          <w:p>
            <w:pPr>
              <w:pStyle w:val="TableContents"/>
              <w:bidi w:val="0"/>
              <w:spacing w:before="0" w:after="283"/>
              <w:jc w:val="left"/>
              <w:rPr/>
            </w:pPr>
            <w:hyperlink w:anchor="a_012">
              <w:r>
                <w:rPr>
                  <w:rStyle w:val="InternetLink"/>
                  <w:rFonts w:ascii="Times New Roman;Times;Serif" w:hAnsi="Times New Roman;Times;Serif"/>
                  <w:sz w:val="20"/>
                </w:rPr>
                <w:t>Defaults Upon Senior Securities</w:t>
              </w:r>
            </w:hyperlink>
          </w:p>
        </w:tc>
        <w:tc>
          <w:tcPr>
            <w:tcW w:w="561"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28</w:t>
            </w:r>
          </w:p>
        </w:tc>
      </w:tr>
      <w:tr>
        <w:trPr/>
        <w:tc>
          <w:tcPr>
            <w:tcW w:w="606"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4.</w:t>
            </w:r>
          </w:p>
        </w:tc>
        <w:tc>
          <w:tcPr>
            <w:tcW w:w="9038" w:type="dxa"/>
            <w:tcBorders/>
            <w:shd w:fill="CCEEFF" w:val="clear"/>
            <w:vAlign w:val="center"/>
          </w:tcPr>
          <w:p>
            <w:pPr>
              <w:pStyle w:val="TableContents"/>
              <w:bidi w:val="0"/>
              <w:spacing w:before="0" w:after="283"/>
              <w:jc w:val="left"/>
              <w:rPr/>
            </w:pPr>
            <w:hyperlink w:anchor="a_013">
              <w:r>
                <w:rPr>
                  <w:rStyle w:val="InternetLink"/>
                  <w:rFonts w:ascii="Times New Roman;Times;Serif" w:hAnsi="Times New Roman;Times;Serif"/>
                  <w:sz w:val="20"/>
                </w:rPr>
                <w:t>Mine Safety Disclosures</w:t>
              </w:r>
            </w:hyperlink>
          </w:p>
        </w:tc>
        <w:tc>
          <w:tcPr>
            <w:tcW w:w="561"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28</w:t>
            </w:r>
          </w:p>
        </w:tc>
      </w:tr>
      <w:tr>
        <w:trPr/>
        <w:tc>
          <w:tcPr>
            <w:tcW w:w="606"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5.</w:t>
            </w:r>
          </w:p>
        </w:tc>
        <w:tc>
          <w:tcPr>
            <w:tcW w:w="9038" w:type="dxa"/>
            <w:tcBorders/>
            <w:vAlign w:val="center"/>
          </w:tcPr>
          <w:p>
            <w:pPr>
              <w:pStyle w:val="TableContents"/>
              <w:bidi w:val="0"/>
              <w:spacing w:before="0" w:after="283"/>
              <w:jc w:val="left"/>
              <w:rPr/>
            </w:pPr>
            <w:hyperlink w:anchor="a_014">
              <w:r>
                <w:rPr>
                  <w:rStyle w:val="InternetLink"/>
                  <w:rFonts w:ascii="Times New Roman;Times;Serif" w:hAnsi="Times New Roman;Times;Serif"/>
                  <w:sz w:val="20"/>
                </w:rPr>
                <w:t>Other Information</w:t>
              </w:r>
            </w:hyperlink>
          </w:p>
        </w:tc>
        <w:tc>
          <w:tcPr>
            <w:tcW w:w="561"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29</w:t>
            </w:r>
          </w:p>
        </w:tc>
      </w:tr>
      <w:tr>
        <w:trPr/>
        <w:tc>
          <w:tcPr>
            <w:tcW w:w="606"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6.</w:t>
            </w:r>
          </w:p>
        </w:tc>
        <w:tc>
          <w:tcPr>
            <w:tcW w:w="9038" w:type="dxa"/>
            <w:tcBorders/>
            <w:shd w:fill="CCEEFF" w:val="clear"/>
            <w:vAlign w:val="center"/>
          </w:tcPr>
          <w:p>
            <w:pPr>
              <w:pStyle w:val="TableContents"/>
              <w:bidi w:val="0"/>
              <w:spacing w:before="0" w:after="283"/>
              <w:jc w:val="left"/>
              <w:rPr/>
            </w:pPr>
            <w:hyperlink w:anchor="a_015">
              <w:r>
                <w:rPr>
                  <w:rStyle w:val="InternetLink"/>
                  <w:rFonts w:ascii="Times New Roman;Times;Serif" w:hAnsi="Times New Roman;Times;Serif"/>
                  <w:sz w:val="20"/>
                </w:rPr>
                <w:t>Exhibits</w:t>
              </w:r>
            </w:hyperlink>
          </w:p>
        </w:tc>
        <w:tc>
          <w:tcPr>
            <w:tcW w:w="561"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30</w:t>
            </w:r>
          </w:p>
        </w:tc>
      </w:tr>
      <w:tr>
        <w:trPr/>
        <w:tc>
          <w:tcPr>
            <w:tcW w:w="606" w:type="dxa"/>
            <w:tcBorders/>
            <w:vAlign w:val="center"/>
          </w:tcPr>
          <w:p>
            <w:pPr>
              <w:pStyle w:val="TableContents"/>
              <w:bidi w:val="0"/>
              <w:spacing w:before="0" w:after="283"/>
              <w:ind w:left="0" w:right="0" w:hanging="180"/>
              <w:jc w:val="left"/>
              <w:rPr/>
            </w:pPr>
            <w:r>
              <w:rPr/>
              <w:t> </w:t>
            </w:r>
          </w:p>
        </w:tc>
        <w:tc>
          <w:tcPr>
            <w:tcW w:w="9038" w:type="dxa"/>
            <w:tcBorders/>
            <w:vAlign w:val="center"/>
          </w:tcPr>
          <w:p>
            <w:pPr>
              <w:pStyle w:val="TableContents"/>
              <w:bidi w:val="0"/>
              <w:spacing w:before="0" w:after="283"/>
              <w:jc w:val="left"/>
              <w:rPr/>
            </w:pPr>
            <w:r>
              <w:rPr/>
              <w:t> </w:t>
            </w:r>
          </w:p>
        </w:tc>
        <w:tc>
          <w:tcPr>
            <w:tcW w:w="561" w:type="dxa"/>
            <w:tcBorders/>
            <w:vAlign w:val="center"/>
          </w:tcPr>
          <w:p>
            <w:pPr>
              <w:pStyle w:val="TableContents"/>
              <w:bidi w:val="0"/>
              <w:spacing w:before="0" w:after="283"/>
              <w:jc w:val="center"/>
              <w:rPr/>
            </w:pPr>
            <w:r>
              <w:rPr/>
              <w:t> </w:t>
            </w:r>
          </w:p>
        </w:tc>
      </w:tr>
      <w:tr>
        <w:trPr/>
        <w:tc>
          <w:tcPr>
            <w:tcW w:w="9644" w:type="dxa"/>
            <w:gridSpan w:val="2"/>
            <w:tcBorders/>
            <w:shd w:fill="CCEEFF" w:val="clear"/>
            <w:vAlign w:val="center"/>
          </w:tcPr>
          <w:p>
            <w:pPr>
              <w:pStyle w:val="TableContents"/>
              <w:bidi w:val="0"/>
              <w:spacing w:before="0" w:after="283"/>
              <w:jc w:val="left"/>
              <w:rPr/>
            </w:pPr>
            <w:hyperlink w:anchor="a_016">
              <w:r>
                <w:rPr>
                  <w:rStyle w:val="InternetLink"/>
                  <w:rFonts w:ascii="Times New Roman;Times;Serif" w:hAnsi="Times New Roman;Times;Serif"/>
                  <w:b/>
                  <w:sz w:val="20"/>
                </w:rPr>
                <w:t>EXHIBIT INDEX</w:t>
              </w:r>
            </w:hyperlink>
          </w:p>
        </w:tc>
        <w:tc>
          <w:tcPr>
            <w:tcW w:w="561"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30</w:t>
            </w:r>
          </w:p>
        </w:tc>
      </w:tr>
      <w:tr>
        <w:trPr/>
        <w:tc>
          <w:tcPr>
            <w:tcW w:w="9644" w:type="dxa"/>
            <w:gridSpan w:val="2"/>
            <w:tcBorders/>
            <w:vAlign w:val="center"/>
          </w:tcPr>
          <w:p>
            <w:pPr>
              <w:pStyle w:val="TableContents"/>
              <w:bidi w:val="0"/>
              <w:spacing w:before="0" w:after="283"/>
              <w:jc w:val="left"/>
              <w:rPr/>
            </w:pPr>
            <w:r>
              <w:rPr/>
              <w:t> </w:t>
            </w:r>
          </w:p>
        </w:tc>
        <w:tc>
          <w:tcPr>
            <w:tcW w:w="561" w:type="dxa"/>
            <w:tcBorders/>
            <w:vAlign w:val="center"/>
          </w:tcPr>
          <w:p>
            <w:pPr>
              <w:pStyle w:val="TableContents"/>
              <w:bidi w:val="0"/>
              <w:spacing w:before="0" w:after="283"/>
              <w:jc w:val="center"/>
              <w:rPr/>
            </w:pPr>
            <w:r>
              <w:rPr/>
              <w:t> </w:t>
            </w:r>
          </w:p>
        </w:tc>
      </w:tr>
      <w:tr>
        <w:trPr/>
        <w:tc>
          <w:tcPr>
            <w:tcW w:w="9644" w:type="dxa"/>
            <w:gridSpan w:val="2"/>
            <w:tcBorders/>
            <w:shd w:fill="CCEEFF" w:val="clear"/>
            <w:vAlign w:val="center"/>
          </w:tcPr>
          <w:p>
            <w:pPr>
              <w:pStyle w:val="TableContents"/>
              <w:bidi w:val="0"/>
              <w:spacing w:before="0" w:after="283"/>
              <w:jc w:val="left"/>
              <w:rPr/>
            </w:pPr>
            <w:hyperlink w:anchor="a_017">
              <w:r>
                <w:rPr>
                  <w:rStyle w:val="InternetLink"/>
                  <w:rFonts w:ascii="Times New Roman;Times;Serif" w:hAnsi="Times New Roman;Times;Serif"/>
                  <w:b/>
                  <w:sz w:val="20"/>
                </w:rPr>
                <w:t>SIGNATURES</w:t>
              </w:r>
            </w:hyperlink>
          </w:p>
        </w:tc>
        <w:tc>
          <w:tcPr>
            <w:tcW w:w="561"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31</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CONCERNING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Quarterly Report on Form 10-Q contains forward-looking statements within the meaning of Section 27A of the Securities Act of 1933, or the Securities Act, and Section 21E of the Securities Exchange Act of 1934, as amended, or the Exchange Act, and are subject to the safe harbor created thereby under the Private Securities Litigation Reform Act of 1995. Forward-looking statements reflect our current views with respect to, among other things, our operations and financial performance. All statements other than statements of historical facts contained in this Quarterly Report on Form 10-Q are forward-looking statements. You can generally identify these forward-looking statements by terminology such as “believes,” “expects,” “potential,” “continues,” “may,” “will,” “should,” “seek,” “approximately,” “predict,” “intend,” “plans,” “estimates,” “anticipates” or the negative version of these terms or other comparable terminology. Forward-looking statements inherently involve many risks and uncertainties that could cause actual results to differ from those expressed in forward-looking statements. Forward-looking statements are based on management’s current plans and expectations, expressed in good faith and believed to have a reasonable basis. However, we can give no assurance that any expectation or belief will result or will be achieved or accomplished. Investors therefore should not place undue reliance on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include, but are not limited to, statements about:</w:t>
      </w:r>
    </w:p>
    <w:p>
      <w:pPr>
        <w:pStyle w:val="TextBody"/>
        <w:bidi w:val="0"/>
        <w:spacing w:before="0" w:after="0"/>
        <w:ind w:left="0" w:right="0" w:hanging="0"/>
        <w:jc w:val="both"/>
        <w:rPr>
          <w:caps w:val="false"/>
          <w:smallCaps w:val="false"/>
        </w:rPr>
      </w:pPr>
      <w:r>
        <w:rPr>
          <w:caps w:val="false"/>
          <w:smallCaps w:val="false"/>
        </w:rPr>
        <w:t> </w:t>
      </w:r>
    </w:p>
    <w:tbl>
      <w:tblPr>
        <w:tblW w:w="9130" w:type="dxa"/>
        <w:jc w:val="left"/>
        <w:tblInd w:w="0" w:type="dxa"/>
        <w:tblLayout w:type="fixed"/>
        <w:tblCellMar>
          <w:top w:w="0" w:type="dxa"/>
          <w:left w:w="0" w:type="dxa"/>
          <w:bottom w:w="0" w:type="dxa"/>
          <w:right w:w="0" w:type="dxa"/>
        </w:tblCellMar>
      </w:tblPr>
      <w:tblGrid>
        <w:gridCol w:w="105"/>
        <w:gridCol w:w="200"/>
        <w:gridCol w:w="882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88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estimates regarding our financial performance, including future revenue, expenses and capital requirements;</w:t>
            </w:r>
          </w:p>
        </w:tc>
      </w:tr>
    </w:tbl>
    <w:p>
      <w:pPr>
        <w:pStyle w:val="TextBody"/>
        <w:bidi w:val="0"/>
        <w:spacing w:before="0" w:after="0"/>
        <w:ind w:left="360" w:right="0" w:hanging="360"/>
        <w:jc w:val="both"/>
        <w:rPr>
          <w:caps w:val="false"/>
          <w:smallCaps w:val="false"/>
        </w:rPr>
      </w:pPr>
      <w:r>
        <w:rPr>
          <w:caps w:val="false"/>
          <w:smallCaps w:val="false"/>
        </w:rPr>
        <w:t> </w:t>
      </w:r>
    </w:p>
    <w:tbl>
      <w:tblPr>
        <w:tblW w:w="8575" w:type="dxa"/>
        <w:jc w:val="left"/>
        <w:tblInd w:w="0" w:type="dxa"/>
        <w:tblLayout w:type="fixed"/>
        <w:tblCellMar>
          <w:top w:w="0" w:type="dxa"/>
          <w:left w:w="0" w:type="dxa"/>
          <w:bottom w:w="0" w:type="dxa"/>
          <w:right w:w="0" w:type="dxa"/>
        </w:tblCellMar>
      </w:tblPr>
      <w:tblGrid>
        <w:gridCol w:w="105"/>
        <w:gridCol w:w="200"/>
        <w:gridCol w:w="827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82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expected cash position and ability to obtain financing in the future on satisfactory terms or at all;</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expectations regarding our plans to research, develop and commercialize our current and future product candidates, including TARA-002, and Intravenous, or IV, Choline Chloride;</w:t>
            </w:r>
          </w:p>
        </w:tc>
      </w:tr>
    </w:tbl>
    <w:p>
      <w:pPr>
        <w:pStyle w:val="TextBody"/>
        <w:bidi w:val="0"/>
        <w:spacing w:before="0" w:after="0"/>
        <w:ind w:left="360" w:right="0" w:hanging="360"/>
        <w:jc w:val="both"/>
        <w:rPr>
          <w:caps w:val="false"/>
          <w:smallCaps w:val="false"/>
        </w:rPr>
      </w:pPr>
      <w:r>
        <w:rPr>
          <w:caps w:val="false"/>
          <w:smallCaps w:val="false"/>
        </w:rPr>
        <w:t> </w:t>
      </w:r>
    </w:p>
    <w:tbl>
      <w:tblPr>
        <w:tblW w:w="6295" w:type="dxa"/>
        <w:jc w:val="left"/>
        <w:tblInd w:w="0" w:type="dxa"/>
        <w:tblLayout w:type="fixed"/>
        <w:tblCellMar>
          <w:top w:w="0" w:type="dxa"/>
          <w:left w:w="0" w:type="dxa"/>
          <w:bottom w:w="0" w:type="dxa"/>
          <w:right w:w="0" w:type="dxa"/>
        </w:tblCellMar>
      </w:tblPr>
      <w:tblGrid>
        <w:gridCol w:w="105"/>
        <w:gridCol w:w="200"/>
        <w:gridCol w:w="599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expectations regarding the safety and efficacy of our product candidates;</w:t>
            </w:r>
          </w:p>
        </w:tc>
      </w:tr>
    </w:tbl>
    <w:p>
      <w:pPr>
        <w:pStyle w:val="TextBody"/>
        <w:bidi w:val="0"/>
        <w:spacing w:before="0" w:after="0"/>
        <w:ind w:left="360" w:right="0" w:hanging="360"/>
        <w:jc w:val="both"/>
        <w:rPr>
          <w:caps w:val="false"/>
          <w:smallCaps w:val="false"/>
        </w:rPr>
      </w:pPr>
      <w:r>
        <w:rPr>
          <w:caps w:val="false"/>
          <w:smallCaps w:val="false"/>
        </w:rPr>
        <w:t> </w:t>
      </w:r>
    </w:p>
    <w:tbl>
      <w:tblPr>
        <w:tblW w:w="6505" w:type="dxa"/>
        <w:jc w:val="left"/>
        <w:tblInd w:w="0" w:type="dxa"/>
        <w:tblLayout w:type="fixed"/>
        <w:tblCellMar>
          <w:top w:w="0" w:type="dxa"/>
          <w:left w:w="0" w:type="dxa"/>
          <w:bottom w:w="0" w:type="dxa"/>
          <w:right w:w="0" w:type="dxa"/>
        </w:tblCellMar>
      </w:tblPr>
      <w:tblGrid>
        <w:gridCol w:w="105"/>
        <w:gridCol w:w="200"/>
        <w:gridCol w:w="62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62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expectations regarding the timing, costs and outcomes of our clinical trials;</w:t>
            </w:r>
          </w:p>
        </w:tc>
      </w:tr>
    </w:tbl>
    <w:p>
      <w:pPr>
        <w:pStyle w:val="TextBody"/>
        <w:bidi w:val="0"/>
        <w:spacing w:before="0" w:after="0"/>
        <w:ind w:left="360" w:right="0" w:hanging="360"/>
        <w:jc w:val="both"/>
        <w:rPr>
          <w:caps w:val="false"/>
          <w:smallCaps w:val="false"/>
        </w:rPr>
      </w:pPr>
      <w:r>
        <w:rPr>
          <w:caps w:val="false"/>
          <w:smallCaps w:val="false"/>
        </w:rPr>
        <w:t> </w:t>
      </w:r>
    </w:p>
    <w:tbl>
      <w:tblPr>
        <w:tblW w:w="4060" w:type="dxa"/>
        <w:jc w:val="left"/>
        <w:tblInd w:w="0" w:type="dxa"/>
        <w:tblLayout w:type="fixed"/>
        <w:tblCellMar>
          <w:top w:w="0" w:type="dxa"/>
          <w:left w:w="0" w:type="dxa"/>
          <w:bottom w:w="0" w:type="dxa"/>
          <w:right w:w="0" w:type="dxa"/>
        </w:tblCellMar>
      </w:tblPr>
      <w:tblGrid>
        <w:gridCol w:w="105"/>
        <w:gridCol w:w="200"/>
        <w:gridCol w:w="375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37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expectations regarding potential market size;</w:t>
            </w:r>
          </w:p>
        </w:tc>
      </w:tr>
    </w:tbl>
    <w:p>
      <w:pPr>
        <w:pStyle w:val="TextBody"/>
        <w:bidi w:val="0"/>
        <w:spacing w:before="0" w:after="0"/>
        <w:ind w:left="360" w:right="0" w:hanging="360"/>
        <w:jc w:val="both"/>
        <w:rPr>
          <w:caps w:val="false"/>
          <w:smallCaps w:val="false"/>
        </w:rPr>
      </w:pPr>
      <w:r>
        <w:rPr>
          <w:caps w:val="false"/>
          <w:smallCaps w:val="false"/>
        </w:rPr>
        <w:t> </w:t>
      </w:r>
    </w:p>
    <w:tbl>
      <w:tblPr>
        <w:tblW w:w="7150" w:type="dxa"/>
        <w:jc w:val="left"/>
        <w:tblInd w:w="0" w:type="dxa"/>
        <w:tblLayout w:type="fixed"/>
        <w:tblCellMar>
          <w:top w:w="0" w:type="dxa"/>
          <w:left w:w="0" w:type="dxa"/>
          <w:bottom w:w="0" w:type="dxa"/>
          <w:right w:w="0" w:type="dxa"/>
        </w:tblCellMar>
      </w:tblPr>
      <w:tblGrid>
        <w:gridCol w:w="105"/>
        <w:gridCol w:w="200"/>
        <w:gridCol w:w="684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68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expectations regarding the timing of the availability of data from our clinical trials;</w:t>
            </w:r>
          </w:p>
        </w:tc>
      </w:tr>
    </w:tbl>
    <w:p>
      <w:pPr>
        <w:pStyle w:val="TextBody"/>
        <w:bidi w:val="0"/>
        <w:spacing w:before="0" w:after="0"/>
        <w:ind w:left="360" w:right="0" w:hanging="360"/>
        <w:jc w:val="both"/>
        <w:rPr>
          <w:caps w:val="false"/>
          <w:smallCaps w:val="false"/>
        </w:rPr>
      </w:pPr>
      <w:r>
        <w:rPr>
          <w:caps w:val="false"/>
          <w:smallCaps w:val="false"/>
        </w:rPr>
        <w:t> </w:t>
      </w:r>
    </w:p>
    <w:tbl>
      <w:tblPr>
        <w:tblW w:w="9355" w:type="dxa"/>
        <w:jc w:val="left"/>
        <w:tblInd w:w="0" w:type="dxa"/>
        <w:tblLayout w:type="fixed"/>
        <w:tblCellMar>
          <w:top w:w="0" w:type="dxa"/>
          <w:left w:w="0" w:type="dxa"/>
          <w:bottom w:w="0" w:type="dxa"/>
          <w:right w:w="0" w:type="dxa"/>
        </w:tblCellMar>
      </w:tblPr>
      <w:tblGrid>
        <w:gridCol w:w="105"/>
        <w:gridCol w:w="200"/>
        <w:gridCol w:w="905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expectations regarding the clinical utility, potential benefits and market acceptance of our product candidates;</w:t>
            </w:r>
          </w:p>
        </w:tc>
      </w:tr>
    </w:tbl>
    <w:p>
      <w:pPr>
        <w:pStyle w:val="TextBody"/>
        <w:bidi w:val="0"/>
        <w:spacing w:before="0" w:after="0"/>
        <w:ind w:left="360" w:right="0" w:hanging="360"/>
        <w:jc w:val="both"/>
        <w:rPr>
          <w:caps w:val="false"/>
          <w:smallCaps w:val="false"/>
        </w:rPr>
      </w:pPr>
      <w:r>
        <w:rPr>
          <w:caps w:val="false"/>
          <w:smallCaps w:val="false"/>
        </w:rPr>
        <w:t> </w:t>
      </w:r>
    </w:p>
    <w:tbl>
      <w:tblPr>
        <w:tblW w:w="8710" w:type="dxa"/>
        <w:jc w:val="left"/>
        <w:tblInd w:w="0" w:type="dxa"/>
        <w:tblLayout w:type="fixed"/>
        <w:tblCellMar>
          <w:top w:w="0" w:type="dxa"/>
          <w:left w:w="0" w:type="dxa"/>
          <w:bottom w:w="0" w:type="dxa"/>
          <w:right w:w="0" w:type="dxa"/>
        </w:tblCellMar>
      </w:tblPr>
      <w:tblGrid>
        <w:gridCol w:w="105"/>
        <w:gridCol w:w="200"/>
        <w:gridCol w:w="840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84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expectations regarding our commercialization, marketing and manufacturing capabilities and strategy;</w:t>
            </w:r>
          </w:p>
        </w:tc>
      </w:tr>
    </w:tbl>
    <w:p>
      <w:pPr>
        <w:pStyle w:val="TextBody"/>
        <w:bidi w:val="0"/>
        <w:spacing w:before="0" w:after="0"/>
        <w:ind w:left="360" w:right="0" w:hanging="360"/>
        <w:jc w:val="both"/>
        <w:rPr>
          <w:caps w:val="false"/>
          <w:smallCaps w:val="false"/>
        </w:rPr>
      </w:pPr>
      <w:r>
        <w:rPr>
          <w:caps w:val="false"/>
          <w:smallCaps w:val="false"/>
        </w:rPr>
        <w:t> </w:t>
      </w:r>
    </w:p>
    <w:tbl>
      <w:tblPr>
        <w:tblW w:w="9400" w:type="dxa"/>
        <w:jc w:val="left"/>
        <w:tblInd w:w="0" w:type="dxa"/>
        <w:tblLayout w:type="fixed"/>
        <w:tblCellMar>
          <w:top w:w="0" w:type="dxa"/>
          <w:left w:w="0" w:type="dxa"/>
          <w:bottom w:w="0" w:type="dxa"/>
          <w:right w:w="0" w:type="dxa"/>
        </w:tblCellMar>
      </w:tblPr>
      <w:tblGrid>
        <w:gridCol w:w="105"/>
        <w:gridCol w:w="200"/>
        <w:gridCol w:w="909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0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implementation of our business model, strategic plans for our business, product candidates and technology;</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expectations regarding our ability to identify additional products or product candidates with significant commercial potential;</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6175" w:type="dxa"/>
        <w:jc w:val="left"/>
        <w:tblInd w:w="0" w:type="dxa"/>
        <w:tblLayout w:type="fixed"/>
        <w:tblCellMar>
          <w:top w:w="0" w:type="dxa"/>
          <w:left w:w="0" w:type="dxa"/>
          <w:bottom w:w="0" w:type="dxa"/>
          <w:right w:w="0" w:type="dxa"/>
        </w:tblCellMar>
      </w:tblPr>
      <w:tblGrid>
        <w:gridCol w:w="105"/>
        <w:gridCol w:w="200"/>
        <w:gridCol w:w="587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developments and projections relating to our competitors and industry;</w:t>
            </w:r>
          </w:p>
        </w:tc>
      </w:tr>
    </w:tbl>
    <w:p>
      <w:pPr>
        <w:pStyle w:val="TextBody"/>
        <w:bidi w:val="0"/>
        <w:spacing w:before="0" w:after="0"/>
        <w:ind w:left="360" w:right="0" w:hanging="360"/>
        <w:jc w:val="both"/>
        <w:rPr>
          <w:caps w:val="false"/>
          <w:smallCaps w:val="false"/>
        </w:rPr>
      </w:pPr>
      <w:r>
        <w:rPr>
          <w:caps w:val="false"/>
          <w:smallCaps w:val="false"/>
        </w:rPr>
        <w:t> </w:t>
      </w:r>
    </w:p>
    <w:tbl>
      <w:tblPr>
        <w:tblW w:w="8695" w:type="dxa"/>
        <w:jc w:val="left"/>
        <w:tblInd w:w="0" w:type="dxa"/>
        <w:tblLayout w:type="fixed"/>
        <w:tblCellMar>
          <w:top w:w="0" w:type="dxa"/>
          <w:left w:w="0" w:type="dxa"/>
          <w:bottom w:w="0" w:type="dxa"/>
          <w:right w:w="0" w:type="dxa"/>
        </w:tblCellMar>
      </w:tblPr>
      <w:tblGrid>
        <w:gridCol w:w="105"/>
        <w:gridCol w:w="200"/>
        <w:gridCol w:w="839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83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acquire, license and invest in businesses, technologies, product candidates and products;</w:t>
            </w:r>
          </w:p>
        </w:tc>
      </w:tr>
    </w:tbl>
    <w:p>
      <w:pPr>
        <w:pStyle w:val="TextBody"/>
        <w:bidi w:val="0"/>
        <w:spacing w:before="0" w:after="0"/>
        <w:ind w:left="360" w:right="0" w:hanging="360"/>
        <w:jc w:val="both"/>
        <w:rPr>
          <w:caps w:val="false"/>
          <w:smallCaps w:val="false"/>
        </w:rPr>
      </w:pPr>
      <w:r>
        <w:rPr>
          <w:caps w:val="false"/>
          <w:smallCaps w:val="false"/>
        </w:rPr>
        <w:t> </w:t>
      </w:r>
    </w:p>
    <w:tbl>
      <w:tblPr>
        <w:tblW w:w="5950" w:type="dxa"/>
        <w:jc w:val="left"/>
        <w:tblInd w:w="0" w:type="dxa"/>
        <w:tblLayout w:type="fixed"/>
        <w:tblCellMar>
          <w:top w:w="0" w:type="dxa"/>
          <w:left w:w="0" w:type="dxa"/>
          <w:bottom w:w="0" w:type="dxa"/>
          <w:right w:w="0" w:type="dxa"/>
        </w:tblCellMar>
      </w:tblPr>
      <w:tblGrid>
        <w:gridCol w:w="105"/>
        <w:gridCol w:w="200"/>
        <w:gridCol w:w="564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remain listed on the Nasdaq Global Market, or Nasdaq;</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impact of and changes or developments in government laws and regulations, including any executive orders or tariffs;</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costs and outcomes relating to any disputes, governmental inquiries or investigations, regulatory proceedings, legal proceedings or litigation;</w:t>
            </w:r>
          </w:p>
        </w:tc>
      </w:tr>
    </w:tbl>
    <w:p>
      <w:pPr>
        <w:pStyle w:val="TextBody"/>
        <w:bidi w:val="0"/>
        <w:spacing w:before="0" w:after="0"/>
        <w:ind w:left="360" w:right="0" w:hanging="360"/>
        <w:jc w:val="both"/>
        <w:rPr>
          <w:caps w:val="false"/>
          <w:smallCaps w:val="false"/>
        </w:rPr>
      </w:pPr>
      <w:r>
        <w:rPr>
          <w:caps w:val="false"/>
          <w:smallCaps w:val="false"/>
        </w:rPr>
        <w:t> </w:t>
      </w:r>
    </w:p>
    <w:tbl>
      <w:tblPr>
        <w:tblW w:w="6970" w:type="dxa"/>
        <w:jc w:val="left"/>
        <w:tblInd w:w="0" w:type="dxa"/>
        <w:tblLayout w:type="fixed"/>
        <w:tblCellMar>
          <w:top w:w="0" w:type="dxa"/>
          <w:left w:w="0" w:type="dxa"/>
          <w:bottom w:w="0" w:type="dxa"/>
          <w:right w:w="0" w:type="dxa"/>
        </w:tblCellMar>
      </w:tblPr>
      <w:tblGrid>
        <w:gridCol w:w="105"/>
        <w:gridCol w:w="200"/>
        <w:gridCol w:w="666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66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attract and retain key personnel to manage our business effectively;</w:t>
            </w:r>
          </w:p>
        </w:tc>
      </w:tr>
    </w:tbl>
    <w:p>
      <w:pPr>
        <w:pStyle w:val="TextBody"/>
        <w:bidi w:val="0"/>
        <w:spacing w:before="0" w:after="0"/>
        <w:ind w:left="360" w:right="0" w:hanging="360"/>
        <w:jc w:val="both"/>
        <w:rPr>
          <w:caps w:val="false"/>
          <w:smallCaps w:val="false"/>
        </w:rPr>
      </w:pPr>
      <w:r>
        <w:rPr>
          <w:caps w:val="false"/>
          <w:smallCaps w:val="false"/>
        </w:rPr>
        <w:t> </w:t>
      </w:r>
    </w:p>
    <w:tbl>
      <w:tblPr>
        <w:tblW w:w="7585" w:type="dxa"/>
        <w:jc w:val="left"/>
        <w:tblInd w:w="0" w:type="dxa"/>
        <w:tblLayout w:type="fixed"/>
        <w:tblCellMar>
          <w:top w:w="0" w:type="dxa"/>
          <w:left w:w="0" w:type="dxa"/>
          <w:bottom w:w="0" w:type="dxa"/>
          <w:right w:w="0" w:type="dxa"/>
        </w:tblCellMar>
      </w:tblPr>
      <w:tblGrid>
        <w:gridCol w:w="105"/>
        <w:gridCol w:w="200"/>
        <w:gridCol w:w="728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72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prevent system failures, data breaches or violations of data protection laws;</w:t>
            </w:r>
          </w:p>
        </w:tc>
      </w:tr>
    </w:tbl>
    <w:p>
      <w:pPr>
        <w:pStyle w:val="TextBody"/>
        <w:bidi w:val="0"/>
        <w:spacing w:before="0" w:after="0"/>
        <w:ind w:left="360" w:right="0" w:hanging="360"/>
        <w:jc w:val="both"/>
        <w:rPr>
          <w:caps w:val="false"/>
          <w:smallCaps w:val="false"/>
        </w:rPr>
      </w:pPr>
      <w:r>
        <w:rPr>
          <w:caps w:val="false"/>
          <w:smallCaps w:val="false"/>
        </w:rPr>
        <w:t> </w:t>
      </w:r>
    </w:p>
    <w:tbl>
      <w:tblPr>
        <w:tblW w:w="5260" w:type="dxa"/>
        <w:jc w:val="left"/>
        <w:tblInd w:w="0" w:type="dxa"/>
        <w:tblLayout w:type="fixed"/>
        <w:tblCellMar>
          <w:top w:w="0" w:type="dxa"/>
          <w:left w:w="0" w:type="dxa"/>
          <w:bottom w:w="0" w:type="dxa"/>
          <w:right w:w="0" w:type="dxa"/>
        </w:tblCellMar>
      </w:tblPr>
      <w:tblGrid>
        <w:gridCol w:w="105"/>
        <w:gridCol w:w="200"/>
        <w:gridCol w:w="495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4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timing or likelihood of regulatory filings and approvals;</w:t>
            </w:r>
          </w:p>
        </w:tc>
      </w:tr>
    </w:tbl>
    <w:p>
      <w:pPr>
        <w:pStyle w:val="TextBody"/>
        <w:bidi w:val="0"/>
        <w:spacing w:before="0" w:after="0"/>
        <w:ind w:left="360" w:right="0" w:hanging="360"/>
        <w:jc w:val="both"/>
        <w:rPr>
          <w:caps w:val="false"/>
          <w:smallCaps w:val="false"/>
        </w:rPr>
      </w:pPr>
      <w:r>
        <w:rPr>
          <w:caps w:val="false"/>
          <w:smallCaps w:val="false"/>
        </w:rPr>
        <w:t> </w:t>
      </w:r>
    </w:p>
    <w:tbl>
      <w:tblPr>
        <w:tblW w:w="5230" w:type="dxa"/>
        <w:jc w:val="left"/>
        <w:tblInd w:w="0" w:type="dxa"/>
        <w:tblLayout w:type="fixed"/>
        <w:tblCellMar>
          <w:top w:w="0" w:type="dxa"/>
          <w:left w:w="0" w:type="dxa"/>
          <w:bottom w:w="0" w:type="dxa"/>
          <w:right w:w="0" w:type="dxa"/>
        </w:tblCellMar>
      </w:tblPr>
      <w:tblGrid>
        <w:gridCol w:w="105"/>
        <w:gridCol w:w="200"/>
        <w:gridCol w:w="492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49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protect our intellectual property position;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impact of general U.S., foreign and global economic, industry, market, trade, regulatory, political or public health conditions.</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 information on factors that could cause our actual results to differ from those expressed in forward-looking statements is included from time to time in our reports filed with the Securities and Exchange Commission, including in our Annual Report on Form 10-K for the year ended December 31, 2025, particularly under Part I, Item 1A, “Risk Factors.” Investors should understand that it is not possible to predict or identify all such factors and should not consider the risks described above and under Part I, Item 1A, “Risk Factors” of our Annual Report on Form 10-K to be a complete statement of all potential risks and uncertainties. All forward-looking statements in this Quarterly Report on Form 10-Q speak only as of the date of this Quarterly Report on Form 10-Q and are expressly qualified in their entirety by the cautionary statements included in or incorporated by reference into this Quarterly Report on Form 10-Q. Except as required by law, we expressly disclaim any obligation to publicly release any revisions to forward-looking statements to reflect events after the date of this Quarterly Report on Form 10-Q.</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Quarterly Report on Form 10-Q also contains estimates, projections and other information concerning our industry, our business, and the markets for certain medical conditions,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iii</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PART I –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Item 1.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PROTARA THERAPEUTICS,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a_003"/>
      <w:bookmarkEnd w:id="4"/>
      <w:r>
        <w:rPr>
          <w:rFonts w:ascii="Times New Roman;Times;Serif" w:hAnsi="Times New Roman;Times;Serif"/>
          <w:b/>
          <w:i w:val="false"/>
          <w:caps w:val="false"/>
          <w:smallCaps w:val="false"/>
          <w:sz w:val="20"/>
        </w:rPr>
        <w:t>Condensed Consolidated Balance Sheets (Unaudited)</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thousands, except share and per share data)</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91"/>
        <w:gridCol w:w="90"/>
        <w:gridCol w:w="170"/>
        <w:gridCol w:w="905"/>
        <w:gridCol w:w="125"/>
        <w:gridCol w:w="90"/>
        <w:gridCol w:w="230"/>
        <w:gridCol w:w="1232"/>
        <w:gridCol w:w="172"/>
      </w:tblGrid>
      <w:tr>
        <w:trPr/>
        <w:tc>
          <w:tcPr>
            <w:tcW w:w="7191"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75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w:t>
            </w:r>
          </w:p>
        </w:tc>
        <w:tc>
          <w:tcPr>
            <w:tcW w:w="172" w:type="dxa"/>
            <w:tcBorders/>
            <w:vAlign w:val="center"/>
          </w:tcPr>
          <w:p>
            <w:pPr>
              <w:pStyle w:val="TableContents"/>
              <w:bidi w:val="0"/>
              <w:spacing w:before="0" w:after="283"/>
              <w:jc w:val="left"/>
              <w:rPr/>
            </w:pPr>
            <w:r>
              <w:rPr/>
              <w:t> </w:t>
            </w:r>
          </w:p>
        </w:tc>
      </w:tr>
      <w:tr>
        <w:trPr/>
        <w:tc>
          <w:tcPr>
            <w:tcW w:w="7191"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6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2025</w:t>
            </w:r>
          </w:p>
        </w:tc>
        <w:tc>
          <w:tcPr>
            <w:tcW w:w="172" w:type="dxa"/>
            <w:tcBorders/>
            <w:vAlign w:val="center"/>
          </w:tcPr>
          <w:p>
            <w:pPr>
              <w:pStyle w:val="TableContents"/>
              <w:bidi w:val="0"/>
              <w:spacing w:before="0" w:after="283"/>
              <w:jc w:val="left"/>
              <w:rPr/>
            </w:pPr>
            <w:r>
              <w:rPr/>
              <w:t> </w:t>
            </w:r>
          </w:p>
        </w:tc>
      </w:tr>
      <w:tr>
        <w:trPr/>
        <w:tc>
          <w:tcPr>
            <w:tcW w:w="7191" w:type="dxa"/>
            <w:tcBorders/>
            <w:vAlign w:val="center"/>
          </w:tcPr>
          <w:p>
            <w:pPr>
              <w:pStyle w:val="TableContents"/>
              <w:bidi w:val="0"/>
              <w:spacing w:before="0" w:after="283"/>
              <w:jc w:val="left"/>
              <w:rPr>
                <w:b/>
              </w:rPr>
            </w:pPr>
            <w:r>
              <w:rPr>
                <w:b/>
              </w:rPr>
              <w:t>Assets</w:t>
            </w:r>
          </w:p>
        </w:tc>
        <w:tc>
          <w:tcPr>
            <w:tcW w:w="90" w:type="dxa"/>
            <w:tcBorders/>
            <w:vAlign w:val="center"/>
          </w:tcPr>
          <w:p>
            <w:pPr>
              <w:pStyle w:val="TableContents"/>
              <w:bidi w:val="0"/>
              <w:spacing w:before="0" w:after="283"/>
              <w:jc w:val="left"/>
              <w:rPr/>
            </w:pPr>
            <w:r>
              <w:rPr/>
              <w:t> </w:t>
            </w:r>
          </w:p>
        </w:tc>
        <w:tc>
          <w:tcPr>
            <w:tcW w:w="1075"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62" w:type="dxa"/>
            <w:gridSpan w:val="2"/>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r>
      <w:tr>
        <w:trPr/>
        <w:tc>
          <w:tcPr>
            <w:tcW w:w="7191" w:type="dxa"/>
            <w:tcBorders/>
            <w:vAlign w:val="center"/>
          </w:tcPr>
          <w:p>
            <w:pPr>
              <w:pStyle w:val="TableContents"/>
              <w:bidi w:val="0"/>
              <w:spacing w:before="0" w:after="283"/>
              <w:jc w:val="left"/>
              <w:rPr/>
            </w:pPr>
            <w:r>
              <w:rPr/>
              <w:t>Current assets:</w:t>
            </w:r>
          </w:p>
        </w:tc>
        <w:tc>
          <w:tcPr>
            <w:tcW w:w="90" w:type="dxa"/>
            <w:tcBorders/>
            <w:vAlign w:val="center"/>
          </w:tcPr>
          <w:p>
            <w:pPr>
              <w:pStyle w:val="TableContents"/>
              <w:bidi w:val="0"/>
              <w:spacing w:before="0" w:after="283"/>
              <w:jc w:val="left"/>
              <w:rPr/>
            </w:pPr>
            <w:r>
              <w:rPr/>
              <w:t> </w:t>
            </w:r>
          </w:p>
        </w:tc>
        <w:tc>
          <w:tcPr>
            <w:tcW w:w="1075"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62" w:type="dxa"/>
            <w:gridSpan w:val="2"/>
            <w:tcBorders/>
            <w:vAlign w:val="center"/>
          </w:tcPr>
          <w:p>
            <w:pPr>
              <w:pStyle w:val="TableContents"/>
              <w:bidi w:val="0"/>
              <w:spacing w:before="0" w:after="283"/>
              <w:jc w:val="right"/>
              <w:rPr/>
            </w:pPr>
            <w:r>
              <w:rPr/>
              <w:t> </w:t>
            </w:r>
          </w:p>
        </w:tc>
        <w:tc>
          <w:tcPr>
            <w:tcW w:w="172" w:type="dxa"/>
            <w:tcBorders/>
            <w:vAlign w:val="center"/>
          </w:tcPr>
          <w:p>
            <w:pPr>
              <w:pStyle w:val="TableContents"/>
              <w:bidi w:val="0"/>
              <w:spacing w:before="0" w:after="283"/>
              <w:jc w:val="left"/>
              <w:rPr/>
            </w:pPr>
            <w:r>
              <w:rPr/>
              <w:t> </w:t>
            </w:r>
          </w:p>
        </w:tc>
      </w:tr>
      <w:tr>
        <w:trPr/>
        <w:tc>
          <w:tcPr>
            <w:tcW w:w="7191" w:type="dxa"/>
            <w:tcBorders/>
            <w:shd w:fill="CCEEFF" w:val="clear"/>
            <w:vAlign w:val="center"/>
          </w:tcPr>
          <w:p>
            <w:pPr>
              <w:pStyle w:val="TableContents"/>
              <w:bidi w:val="0"/>
              <w:spacing w:before="0" w:after="283"/>
              <w:jc w:val="left"/>
              <w:rPr/>
            </w:pPr>
            <w:r>
              <w:rPr/>
              <w:t>Cash and cash equivalents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905" w:type="dxa"/>
            <w:tcBorders/>
            <w:shd w:fill="CCEEFF" w:val="clear"/>
            <w:vAlign w:val="center"/>
          </w:tcPr>
          <w:p>
            <w:pPr>
              <w:pStyle w:val="TableContents"/>
              <w:bidi w:val="0"/>
              <w:spacing w:before="0" w:after="283"/>
              <w:jc w:val="right"/>
              <w:rPr/>
            </w:pPr>
            <w:r>
              <w:rPr/>
              <w:t>17,076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w:t>
            </w:r>
          </w:p>
        </w:tc>
        <w:tc>
          <w:tcPr>
            <w:tcW w:w="1232" w:type="dxa"/>
            <w:tcBorders/>
            <w:shd w:fill="CCEEFF" w:val="clear"/>
            <w:vAlign w:val="center"/>
          </w:tcPr>
          <w:p>
            <w:pPr>
              <w:pStyle w:val="TableContents"/>
              <w:bidi w:val="0"/>
              <w:spacing w:before="0" w:after="283"/>
              <w:jc w:val="right"/>
              <w:rPr/>
            </w:pPr>
            <w:r>
              <w:rPr/>
              <w:t>49,657</w:t>
            </w:r>
          </w:p>
        </w:tc>
        <w:tc>
          <w:tcPr>
            <w:tcW w:w="172" w:type="dxa"/>
            <w:tcBorders/>
            <w:shd w:fill="CCEEFF" w:val="clear"/>
            <w:vAlign w:val="center"/>
          </w:tcPr>
          <w:p>
            <w:pPr>
              <w:pStyle w:val="TableContents"/>
              <w:bidi w:val="0"/>
              <w:spacing w:before="0" w:after="283"/>
              <w:jc w:val="left"/>
              <w:rPr/>
            </w:pPr>
            <w:r>
              <w:rPr/>
              <w:t> </w:t>
            </w:r>
          </w:p>
        </w:tc>
      </w:tr>
      <w:tr>
        <w:trPr/>
        <w:tc>
          <w:tcPr>
            <w:tcW w:w="7191" w:type="dxa"/>
            <w:tcBorders/>
            <w:vAlign w:val="center"/>
          </w:tcPr>
          <w:p>
            <w:pPr>
              <w:pStyle w:val="TableContents"/>
              <w:bidi w:val="0"/>
              <w:spacing w:before="0" w:after="283"/>
              <w:jc w:val="left"/>
              <w:rPr/>
            </w:pPr>
            <w:r>
              <w:rPr/>
              <w:t>Marketable debt securities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125,418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283"/>
              <w:jc w:val="right"/>
              <w:rPr/>
            </w:pPr>
            <w:r>
              <w:rPr/>
              <w:t>105,897</w:t>
            </w:r>
          </w:p>
        </w:tc>
        <w:tc>
          <w:tcPr>
            <w:tcW w:w="172" w:type="dxa"/>
            <w:tcBorders/>
            <w:vAlign w:val="center"/>
          </w:tcPr>
          <w:p>
            <w:pPr>
              <w:pStyle w:val="TableContents"/>
              <w:bidi w:val="0"/>
              <w:spacing w:before="0" w:after="283"/>
              <w:jc w:val="left"/>
              <w:rPr/>
            </w:pPr>
            <w:r>
              <w:rPr/>
              <w:t> </w:t>
            </w:r>
          </w:p>
        </w:tc>
      </w:tr>
      <w:tr>
        <w:trPr/>
        <w:tc>
          <w:tcPr>
            <w:tcW w:w="7191" w:type="dxa"/>
            <w:tcBorders/>
            <w:shd w:fill="CCEEFF" w:val="clear"/>
            <w:vAlign w:val="center"/>
          </w:tcPr>
          <w:p>
            <w:pPr>
              <w:pStyle w:val="TableContents"/>
              <w:bidi w:val="0"/>
              <w:spacing w:before="0" w:after="283"/>
              <w:jc w:val="left"/>
              <w:rPr/>
            </w:pPr>
            <w:r>
              <w:rPr/>
              <w:t>Prepaid expenses and other current assets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3,658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2" w:type="dxa"/>
            <w:tcBorders>
              <w:bottom w:val="single" w:sz="12" w:space="0" w:color="000000"/>
            </w:tcBorders>
            <w:shd w:fill="CCEEFF" w:val="clear"/>
            <w:tcMar>
              <w:bottom w:w="28" w:type="dxa"/>
            </w:tcMar>
            <w:vAlign w:val="center"/>
          </w:tcPr>
          <w:p>
            <w:pPr>
              <w:pStyle w:val="TableContents"/>
              <w:bidi w:val="0"/>
              <w:spacing w:before="0" w:after="283"/>
              <w:jc w:val="right"/>
              <w:rPr/>
            </w:pPr>
            <w:r>
              <w:rPr/>
              <w:t>3,950</w:t>
            </w:r>
          </w:p>
        </w:tc>
        <w:tc>
          <w:tcPr>
            <w:tcW w:w="172" w:type="dxa"/>
            <w:tcBorders/>
            <w:shd w:fill="CCEEFF" w:val="clear"/>
            <w:vAlign w:val="center"/>
          </w:tcPr>
          <w:p>
            <w:pPr>
              <w:pStyle w:val="TableContents"/>
              <w:bidi w:val="0"/>
              <w:spacing w:before="0" w:after="283"/>
              <w:jc w:val="left"/>
              <w:rPr/>
            </w:pPr>
            <w:r>
              <w:rPr/>
              <w:t> </w:t>
            </w:r>
          </w:p>
        </w:tc>
      </w:tr>
      <w:tr>
        <w:trPr/>
        <w:tc>
          <w:tcPr>
            <w:tcW w:w="7191" w:type="dxa"/>
            <w:tcBorders/>
            <w:vAlign w:val="center"/>
          </w:tcPr>
          <w:p>
            <w:pPr>
              <w:pStyle w:val="TableContents"/>
              <w:bidi w:val="0"/>
              <w:spacing w:before="0" w:after="283"/>
              <w:jc w:val="left"/>
              <w:rPr/>
            </w:pPr>
            <w:r>
              <w:rPr/>
              <w:t>Total current assets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146,152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283"/>
              <w:jc w:val="right"/>
              <w:rPr/>
            </w:pPr>
            <w:r>
              <w:rPr/>
              <w:t>159,504</w:t>
            </w:r>
          </w:p>
        </w:tc>
        <w:tc>
          <w:tcPr>
            <w:tcW w:w="172" w:type="dxa"/>
            <w:tcBorders/>
            <w:vAlign w:val="center"/>
          </w:tcPr>
          <w:p>
            <w:pPr>
              <w:pStyle w:val="TableContents"/>
              <w:bidi w:val="0"/>
              <w:spacing w:before="0" w:after="283"/>
              <w:jc w:val="left"/>
              <w:rPr/>
            </w:pPr>
            <w:r>
              <w:rPr/>
              <w:t> </w:t>
            </w:r>
          </w:p>
        </w:tc>
      </w:tr>
      <w:tr>
        <w:trPr/>
        <w:tc>
          <w:tcPr>
            <w:tcW w:w="7191" w:type="dxa"/>
            <w:tcBorders/>
            <w:shd w:fill="CCEEFF" w:val="clear"/>
            <w:vAlign w:val="center"/>
          </w:tcPr>
          <w:p>
            <w:pPr>
              <w:pStyle w:val="TableContents"/>
              <w:bidi w:val="0"/>
              <w:spacing w:before="0" w:after="283"/>
              <w:jc w:val="left"/>
              <w:rPr/>
            </w:pPr>
            <w:r>
              <w:rPr/>
              <w:t>Restricted cash, non-current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745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745</w:t>
            </w:r>
          </w:p>
        </w:tc>
        <w:tc>
          <w:tcPr>
            <w:tcW w:w="172" w:type="dxa"/>
            <w:tcBorders/>
            <w:shd w:fill="CCEEFF" w:val="clear"/>
            <w:vAlign w:val="center"/>
          </w:tcPr>
          <w:p>
            <w:pPr>
              <w:pStyle w:val="TableContents"/>
              <w:bidi w:val="0"/>
              <w:spacing w:before="0" w:after="283"/>
              <w:jc w:val="left"/>
              <w:rPr/>
            </w:pPr>
            <w:r>
              <w:rPr/>
              <w:t> </w:t>
            </w:r>
          </w:p>
        </w:tc>
      </w:tr>
      <w:tr>
        <w:trPr/>
        <w:tc>
          <w:tcPr>
            <w:tcW w:w="7191" w:type="dxa"/>
            <w:tcBorders/>
            <w:vAlign w:val="center"/>
          </w:tcPr>
          <w:p>
            <w:pPr>
              <w:pStyle w:val="TableContents"/>
              <w:bidi w:val="0"/>
              <w:spacing w:before="0" w:after="283"/>
              <w:jc w:val="left"/>
              <w:rPr/>
            </w:pPr>
            <w:r>
              <w:rPr/>
              <w:t>Marketable debt securities, non-current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19,356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283"/>
              <w:jc w:val="right"/>
              <w:rPr/>
            </w:pPr>
            <w:r>
              <w:rPr/>
              <w:t>42,336</w:t>
            </w:r>
          </w:p>
        </w:tc>
        <w:tc>
          <w:tcPr>
            <w:tcW w:w="172" w:type="dxa"/>
            <w:tcBorders/>
            <w:vAlign w:val="center"/>
          </w:tcPr>
          <w:p>
            <w:pPr>
              <w:pStyle w:val="TableContents"/>
              <w:bidi w:val="0"/>
              <w:spacing w:before="0" w:after="283"/>
              <w:jc w:val="left"/>
              <w:rPr/>
            </w:pPr>
            <w:r>
              <w:rPr/>
              <w:t> </w:t>
            </w:r>
          </w:p>
        </w:tc>
      </w:tr>
      <w:tr>
        <w:trPr/>
        <w:tc>
          <w:tcPr>
            <w:tcW w:w="7191" w:type="dxa"/>
            <w:tcBorders/>
            <w:shd w:fill="CCEEFF" w:val="clear"/>
            <w:vAlign w:val="center"/>
          </w:tcPr>
          <w:p>
            <w:pPr>
              <w:pStyle w:val="TableContents"/>
              <w:bidi w:val="0"/>
              <w:spacing w:before="0" w:after="283"/>
              <w:jc w:val="left"/>
              <w:rPr/>
            </w:pPr>
            <w:r>
              <w:rPr/>
              <w:t>Property and equipment, net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1,318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759</w:t>
            </w:r>
          </w:p>
        </w:tc>
        <w:tc>
          <w:tcPr>
            <w:tcW w:w="172" w:type="dxa"/>
            <w:tcBorders/>
            <w:shd w:fill="CCEEFF" w:val="clear"/>
            <w:vAlign w:val="center"/>
          </w:tcPr>
          <w:p>
            <w:pPr>
              <w:pStyle w:val="TableContents"/>
              <w:bidi w:val="0"/>
              <w:spacing w:before="0" w:after="283"/>
              <w:jc w:val="left"/>
              <w:rPr/>
            </w:pPr>
            <w:r>
              <w:rPr/>
              <w:t> </w:t>
            </w:r>
          </w:p>
        </w:tc>
      </w:tr>
      <w:tr>
        <w:trPr/>
        <w:tc>
          <w:tcPr>
            <w:tcW w:w="7191" w:type="dxa"/>
            <w:tcBorders/>
            <w:vAlign w:val="center"/>
          </w:tcPr>
          <w:p>
            <w:pPr>
              <w:pStyle w:val="TableContents"/>
              <w:bidi w:val="0"/>
              <w:spacing w:before="0" w:after="283"/>
              <w:jc w:val="left"/>
              <w:rPr/>
            </w:pPr>
            <w:r>
              <w:rPr/>
              <w:t>Operating lease right-of-use asset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2,602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283"/>
              <w:jc w:val="right"/>
              <w:rPr/>
            </w:pPr>
            <w:r>
              <w:rPr/>
              <w:t>3,174</w:t>
            </w:r>
          </w:p>
        </w:tc>
        <w:tc>
          <w:tcPr>
            <w:tcW w:w="172" w:type="dxa"/>
            <w:tcBorders/>
            <w:vAlign w:val="center"/>
          </w:tcPr>
          <w:p>
            <w:pPr>
              <w:pStyle w:val="TableContents"/>
              <w:bidi w:val="0"/>
              <w:spacing w:before="0" w:after="283"/>
              <w:jc w:val="left"/>
              <w:rPr/>
            </w:pPr>
            <w:r>
              <w:rPr/>
              <w:t> </w:t>
            </w:r>
          </w:p>
        </w:tc>
      </w:tr>
      <w:tr>
        <w:trPr/>
        <w:tc>
          <w:tcPr>
            <w:tcW w:w="7191" w:type="dxa"/>
            <w:tcBorders/>
            <w:shd w:fill="CCEEFF" w:val="clear"/>
            <w:vAlign w:val="center"/>
          </w:tcPr>
          <w:p>
            <w:pPr>
              <w:pStyle w:val="TableContents"/>
              <w:bidi w:val="0"/>
              <w:spacing w:before="0" w:after="283"/>
              <w:jc w:val="left"/>
              <w:rPr/>
            </w:pPr>
            <w:r>
              <w:rPr/>
              <w:t>Other assets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5,920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2" w:type="dxa"/>
            <w:tcBorders>
              <w:bottom w:val="single" w:sz="12" w:space="0" w:color="000000"/>
            </w:tcBorders>
            <w:shd w:fill="CCEEFF" w:val="clear"/>
            <w:tcMar>
              <w:bottom w:w="28" w:type="dxa"/>
            </w:tcMar>
            <w:vAlign w:val="center"/>
          </w:tcPr>
          <w:p>
            <w:pPr>
              <w:pStyle w:val="TableContents"/>
              <w:bidi w:val="0"/>
              <w:spacing w:before="0" w:after="283"/>
              <w:jc w:val="right"/>
              <w:rPr/>
            </w:pPr>
            <w:r>
              <w:rPr/>
              <w:t>2,950</w:t>
            </w:r>
          </w:p>
        </w:tc>
        <w:tc>
          <w:tcPr>
            <w:tcW w:w="172" w:type="dxa"/>
            <w:tcBorders/>
            <w:shd w:fill="CCEEFF" w:val="clear"/>
            <w:vAlign w:val="center"/>
          </w:tcPr>
          <w:p>
            <w:pPr>
              <w:pStyle w:val="TableContents"/>
              <w:bidi w:val="0"/>
              <w:spacing w:before="0" w:after="283"/>
              <w:jc w:val="left"/>
              <w:rPr/>
            </w:pPr>
            <w:r>
              <w:rPr/>
              <w:t> </w:t>
            </w:r>
          </w:p>
        </w:tc>
      </w:tr>
      <w:tr>
        <w:trPr/>
        <w:tc>
          <w:tcPr>
            <w:tcW w:w="7191" w:type="dxa"/>
            <w:tcBorders/>
            <w:vAlign w:val="center"/>
          </w:tcPr>
          <w:p>
            <w:pPr>
              <w:pStyle w:val="TableContents"/>
              <w:bidi w:val="0"/>
              <w:spacing w:before="0" w:after="283"/>
              <w:jc w:val="left"/>
              <w:rPr/>
            </w:pPr>
            <w:r>
              <w:rPr/>
              <w:t>Total assets</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905" w:type="dxa"/>
            <w:tcBorders>
              <w:bottom w:val="double" w:sz="10" w:space="0" w:color="000000"/>
            </w:tcBorders>
            <w:tcMar>
              <w:bottom w:w="28" w:type="dxa"/>
            </w:tcMar>
            <w:vAlign w:val="center"/>
          </w:tcPr>
          <w:p>
            <w:pPr>
              <w:pStyle w:val="TableContents"/>
              <w:bidi w:val="0"/>
              <w:spacing w:before="0" w:after="283"/>
              <w:jc w:val="right"/>
              <w:rPr/>
            </w:pPr>
            <w:r>
              <w:rPr/>
              <w:t>176,093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0" w:type="dxa"/>
            <w:tcBorders>
              <w:bottom w:val="double" w:sz="10" w:space="0" w:color="000000"/>
            </w:tcBorders>
            <w:tcMar>
              <w:bottom w:w="28" w:type="dxa"/>
            </w:tcMar>
            <w:vAlign w:val="center"/>
          </w:tcPr>
          <w:p>
            <w:pPr>
              <w:pStyle w:val="TableContents"/>
              <w:bidi w:val="0"/>
              <w:spacing w:before="0" w:after="283"/>
              <w:jc w:val="left"/>
              <w:rPr/>
            </w:pPr>
            <w:r>
              <w:rPr/>
              <w:t>$</w:t>
            </w:r>
          </w:p>
        </w:tc>
        <w:tc>
          <w:tcPr>
            <w:tcW w:w="1232" w:type="dxa"/>
            <w:tcBorders>
              <w:bottom w:val="double" w:sz="10" w:space="0" w:color="000000"/>
            </w:tcBorders>
            <w:tcMar>
              <w:bottom w:w="28" w:type="dxa"/>
            </w:tcMar>
            <w:vAlign w:val="center"/>
          </w:tcPr>
          <w:p>
            <w:pPr>
              <w:pStyle w:val="TableContents"/>
              <w:bidi w:val="0"/>
              <w:spacing w:before="0" w:after="283"/>
              <w:jc w:val="right"/>
              <w:rPr/>
            </w:pPr>
            <w:r>
              <w:rPr/>
              <w:t>209,468</w:t>
            </w:r>
          </w:p>
        </w:tc>
        <w:tc>
          <w:tcPr>
            <w:tcW w:w="172" w:type="dxa"/>
            <w:tcBorders/>
            <w:vAlign w:val="center"/>
          </w:tcPr>
          <w:p>
            <w:pPr>
              <w:pStyle w:val="TableContents"/>
              <w:bidi w:val="0"/>
              <w:spacing w:before="0" w:after="283"/>
              <w:jc w:val="left"/>
              <w:rPr/>
            </w:pPr>
            <w:r>
              <w:rPr/>
              <w:t> </w:t>
            </w:r>
          </w:p>
        </w:tc>
      </w:tr>
      <w:tr>
        <w:trPr/>
        <w:tc>
          <w:tcPr>
            <w:tcW w:w="7191" w:type="dxa"/>
            <w:tcBorders/>
            <w:shd w:fill="CCEEFF" w:val="clear"/>
            <w:vAlign w:val="center"/>
          </w:tcPr>
          <w:p>
            <w:pPr>
              <w:pStyle w:val="TableContents"/>
              <w:bidi w:val="0"/>
              <w:spacing w:before="0" w:after="283"/>
              <w:jc w:val="left"/>
              <w:rPr>
                <w:b/>
              </w:rPr>
            </w:pPr>
            <w:r>
              <w:rPr>
                <w:b/>
              </w:rPr>
              <w:t>Liabilities and Stockholders’ Equity</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 </w:t>
            </w:r>
          </w:p>
        </w:tc>
        <w:tc>
          <w:tcPr>
            <w:tcW w:w="172" w:type="dxa"/>
            <w:tcBorders/>
            <w:shd w:fill="CCEEFF" w:val="clear"/>
            <w:vAlign w:val="center"/>
          </w:tcPr>
          <w:p>
            <w:pPr>
              <w:pStyle w:val="TableContents"/>
              <w:bidi w:val="0"/>
              <w:spacing w:before="0" w:after="283"/>
              <w:jc w:val="left"/>
              <w:rPr/>
            </w:pPr>
            <w:r>
              <w:rPr/>
              <w:t> </w:t>
            </w:r>
          </w:p>
        </w:tc>
      </w:tr>
      <w:tr>
        <w:trPr/>
        <w:tc>
          <w:tcPr>
            <w:tcW w:w="7191" w:type="dxa"/>
            <w:tcBorders/>
            <w:vAlign w:val="center"/>
          </w:tcPr>
          <w:p>
            <w:pPr>
              <w:pStyle w:val="TableContents"/>
              <w:bidi w:val="0"/>
              <w:spacing w:before="0" w:after="283"/>
              <w:jc w:val="left"/>
              <w:rPr/>
            </w:pPr>
            <w:r>
              <w:rPr/>
              <w:t>Current liabilities: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283"/>
              <w:jc w:val="right"/>
              <w:rPr/>
            </w:pPr>
            <w:r>
              <w:rPr/>
              <w:t> </w:t>
            </w:r>
          </w:p>
        </w:tc>
        <w:tc>
          <w:tcPr>
            <w:tcW w:w="172" w:type="dxa"/>
            <w:tcBorders/>
            <w:vAlign w:val="center"/>
          </w:tcPr>
          <w:p>
            <w:pPr>
              <w:pStyle w:val="TableContents"/>
              <w:bidi w:val="0"/>
              <w:spacing w:before="0" w:after="283"/>
              <w:jc w:val="left"/>
              <w:rPr/>
            </w:pPr>
            <w:r>
              <w:rPr/>
              <w:t> </w:t>
            </w:r>
          </w:p>
        </w:tc>
      </w:tr>
      <w:tr>
        <w:trPr/>
        <w:tc>
          <w:tcPr>
            <w:tcW w:w="7191" w:type="dxa"/>
            <w:tcBorders/>
            <w:shd w:fill="CCEEFF" w:val="clear"/>
            <w:vAlign w:val="center"/>
          </w:tcPr>
          <w:p>
            <w:pPr>
              <w:pStyle w:val="TableContents"/>
              <w:bidi w:val="0"/>
              <w:spacing w:before="0" w:after="283"/>
              <w:jc w:val="left"/>
              <w:rPr/>
            </w:pPr>
            <w:r>
              <w:rPr/>
              <w:t>Accounts payable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905" w:type="dxa"/>
            <w:tcBorders/>
            <w:shd w:fill="CCEEFF" w:val="clear"/>
            <w:vAlign w:val="center"/>
          </w:tcPr>
          <w:p>
            <w:pPr>
              <w:pStyle w:val="TableContents"/>
              <w:bidi w:val="0"/>
              <w:spacing w:before="0" w:after="283"/>
              <w:jc w:val="right"/>
              <w:rPr/>
            </w:pPr>
            <w:r>
              <w:rPr/>
              <w:t>4,663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w:t>
            </w:r>
          </w:p>
        </w:tc>
        <w:tc>
          <w:tcPr>
            <w:tcW w:w="1232" w:type="dxa"/>
            <w:tcBorders/>
            <w:shd w:fill="CCEEFF" w:val="clear"/>
            <w:vAlign w:val="center"/>
          </w:tcPr>
          <w:p>
            <w:pPr>
              <w:pStyle w:val="TableContents"/>
              <w:bidi w:val="0"/>
              <w:spacing w:before="0" w:after="283"/>
              <w:jc w:val="right"/>
              <w:rPr/>
            </w:pPr>
            <w:r>
              <w:rPr/>
              <w:t>3,468</w:t>
            </w:r>
          </w:p>
        </w:tc>
        <w:tc>
          <w:tcPr>
            <w:tcW w:w="172" w:type="dxa"/>
            <w:tcBorders/>
            <w:shd w:fill="CCEEFF" w:val="clear"/>
            <w:vAlign w:val="center"/>
          </w:tcPr>
          <w:p>
            <w:pPr>
              <w:pStyle w:val="TableContents"/>
              <w:bidi w:val="0"/>
              <w:spacing w:before="0" w:after="283"/>
              <w:jc w:val="left"/>
              <w:rPr/>
            </w:pPr>
            <w:r>
              <w:rPr/>
              <w:t> </w:t>
            </w:r>
          </w:p>
        </w:tc>
      </w:tr>
      <w:tr>
        <w:trPr/>
        <w:tc>
          <w:tcPr>
            <w:tcW w:w="7191" w:type="dxa"/>
            <w:tcBorders/>
            <w:vAlign w:val="center"/>
          </w:tcPr>
          <w:p>
            <w:pPr>
              <w:pStyle w:val="TableContents"/>
              <w:bidi w:val="0"/>
              <w:spacing w:before="0" w:after="283"/>
              <w:jc w:val="left"/>
              <w:rPr/>
            </w:pPr>
            <w:r>
              <w:rPr/>
              <w:t>Accrued expenses and other current liabilities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7,370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283"/>
              <w:jc w:val="right"/>
              <w:rPr/>
            </w:pPr>
            <w:r>
              <w:rPr/>
              <w:t>6,229</w:t>
            </w:r>
          </w:p>
        </w:tc>
        <w:tc>
          <w:tcPr>
            <w:tcW w:w="172" w:type="dxa"/>
            <w:tcBorders/>
            <w:vAlign w:val="center"/>
          </w:tcPr>
          <w:p>
            <w:pPr>
              <w:pStyle w:val="TableContents"/>
              <w:bidi w:val="0"/>
              <w:spacing w:before="0" w:after="283"/>
              <w:jc w:val="left"/>
              <w:rPr/>
            </w:pPr>
            <w:r>
              <w:rPr/>
              <w:t> </w:t>
            </w:r>
          </w:p>
        </w:tc>
      </w:tr>
      <w:tr>
        <w:trPr/>
        <w:tc>
          <w:tcPr>
            <w:tcW w:w="7191" w:type="dxa"/>
            <w:tcBorders/>
            <w:shd w:fill="CCEEFF" w:val="clear"/>
            <w:vAlign w:val="center"/>
          </w:tcPr>
          <w:p>
            <w:pPr>
              <w:pStyle w:val="TableContents"/>
              <w:bidi w:val="0"/>
              <w:spacing w:before="0" w:after="283"/>
              <w:jc w:val="left"/>
              <w:rPr/>
            </w:pPr>
            <w:r>
              <w:rPr/>
              <w:t>Operating lease liability</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1,286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2" w:type="dxa"/>
            <w:tcBorders>
              <w:bottom w:val="single" w:sz="12" w:space="0" w:color="000000"/>
            </w:tcBorders>
            <w:shd w:fill="CCEEFF" w:val="clear"/>
            <w:tcMar>
              <w:bottom w:w="28" w:type="dxa"/>
            </w:tcMar>
            <w:vAlign w:val="center"/>
          </w:tcPr>
          <w:p>
            <w:pPr>
              <w:pStyle w:val="TableContents"/>
              <w:bidi w:val="0"/>
              <w:spacing w:before="0" w:after="283"/>
              <w:jc w:val="right"/>
              <w:rPr/>
            </w:pPr>
            <w:r>
              <w:rPr/>
              <w:t>1,242</w:t>
            </w:r>
          </w:p>
        </w:tc>
        <w:tc>
          <w:tcPr>
            <w:tcW w:w="172" w:type="dxa"/>
            <w:tcBorders/>
            <w:shd w:fill="CCEEFF" w:val="clear"/>
            <w:vAlign w:val="center"/>
          </w:tcPr>
          <w:p>
            <w:pPr>
              <w:pStyle w:val="TableContents"/>
              <w:bidi w:val="0"/>
              <w:spacing w:before="0" w:after="283"/>
              <w:jc w:val="left"/>
              <w:rPr/>
            </w:pPr>
            <w:r>
              <w:rPr/>
              <w:t> </w:t>
            </w:r>
          </w:p>
        </w:tc>
      </w:tr>
      <w:tr>
        <w:trPr/>
        <w:tc>
          <w:tcPr>
            <w:tcW w:w="7191" w:type="dxa"/>
            <w:tcBorders/>
            <w:vAlign w:val="center"/>
          </w:tcPr>
          <w:p>
            <w:pPr>
              <w:pStyle w:val="TableContents"/>
              <w:bidi w:val="0"/>
              <w:spacing w:before="0" w:after="283"/>
              <w:jc w:val="left"/>
              <w:rPr/>
            </w:pPr>
            <w:r>
              <w:rPr/>
              <w:t>Total current liabilities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13,319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283"/>
              <w:jc w:val="right"/>
              <w:rPr/>
            </w:pPr>
            <w:r>
              <w:rPr/>
              <w:t>10,939</w:t>
            </w:r>
          </w:p>
        </w:tc>
        <w:tc>
          <w:tcPr>
            <w:tcW w:w="172" w:type="dxa"/>
            <w:tcBorders/>
            <w:vAlign w:val="center"/>
          </w:tcPr>
          <w:p>
            <w:pPr>
              <w:pStyle w:val="TableContents"/>
              <w:bidi w:val="0"/>
              <w:spacing w:before="0" w:after="283"/>
              <w:jc w:val="left"/>
              <w:rPr/>
            </w:pPr>
            <w:r>
              <w:rPr/>
              <w:t> </w:t>
            </w:r>
          </w:p>
        </w:tc>
      </w:tr>
      <w:tr>
        <w:trPr/>
        <w:tc>
          <w:tcPr>
            <w:tcW w:w="7191" w:type="dxa"/>
            <w:tcBorders/>
            <w:shd w:fill="CCEEFF" w:val="clear"/>
            <w:vAlign w:val="center"/>
          </w:tcPr>
          <w:p>
            <w:pPr>
              <w:pStyle w:val="TableContents"/>
              <w:bidi w:val="0"/>
              <w:spacing w:before="0" w:after="283"/>
              <w:jc w:val="left"/>
              <w:rPr/>
            </w:pPr>
            <w:r>
              <w:rPr/>
              <w:t>Operating lease liability, non-current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1,463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2" w:type="dxa"/>
            <w:tcBorders>
              <w:bottom w:val="single" w:sz="12" w:space="0" w:color="000000"/>
            </w:tcBorders>
            <w:shd w:fill="CCEEFF" w:val="clear"/>
            <w:tcMar>
              <w:bottom w:w="28" w:type="dxa"/>
            </w:tcMar>
            <w:vAlign w:val="center"/>
          </w:tcPr>
          <w:p>
            <w:pPr>
              <w:pStyle w:val="TableContents"/>
              <w:bidi w:val="0"/>
              <w:spacing w:before="0" w:after="283"/>
              <w:jc w:val="right"/>
              <w:rPr/>
            </w:pPr>
            <w:r>
              <w:rPr/>
              <w:t>2,117</w:t>
            </w:r>
          </w:p>
        </w:tc>
        <w:tc>
          <w:tcPr>
            <w:tcW w:w="172" w:type="dxa"/>
            <w:tcBorders/>
            <w:shd w:fill="CCEEFF" w:val="clear"/>
            <w:vAlign w:val="center"/>
          </w:tcPr>
          <w:p>
            <w:pPr>
              <w:pStyle w:val="TableContents"/>
              <w:bidi w:val="0"/>
              <w:spacing w:before="0" w:after="283"/>
              <w:jc w:val="left"/>
              <w:rPr/>
            </w:pPr>
            <w:r>
              <w:rPr/>
              <w:t> </w:t>
            </w:r>
          </w:p>
        </w:tc>
      </w:tr>
      <w:tr>
        <w:trPr/>
        <w:tc>
          <w:tcPr>
            <w:tcW w:w="7191" w:type="dxa"/>
            <w:tcBorders/>
            <w:vAlign w:val="center"/>
          </w:tcPr>
          <w:p>
            <w:pPr>
              <w:pStyle w:val="TableContents"/>
              <w:bidi w:val="0"/>
              <w:spacing w:before="0" w:after="283"/>
              <w:jc w:val="left"/>
              <w:rPr/>
            </w:pPr>
            <w:r>
              <w:rPr/>
              <w:t>Total liabilities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pPr>
            <w:r>
              <w:rPr/>
              <w:t>14,782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32" w:type="dxa"/>
            <w:tcBorders>
              <w:bottom w:val="single" w:sz="12" w:space="0" w:color="000000"/>
            </w:tcBorders>
            <w:tcMar>
              <w:bottom w:w="28" w:type="dxa"/>
            </w:tcMar>
            <w:vAlign w:val="center"/>
          </w:tcPr>
          <w:p>
            <w:pPr>
              <w:pStyle w:val="TableContents"/>
              <w:bidi w:val="0"/>
              <w:spacing w:before="0" w:after="283"/>
              <w:jc w:val="right"/>
              <w:rPr/>
            </w:pPr>
            <w:r>
              <w:rPr/>
              <w:t>13,056</w:t>
            </w:r>
          </w:p>
        </w:tc>
        <w:tc>
          <w:tcPr>
            <w:tcW w:w="172" w:type="dxa"/>
            <w:tcBorders/>
            <w:vAlign w:val="center"/>
          </w:tcPr>
          <w:p>
            <w:pPr>
              <w:pStyle w:val="TableContents"/>
              <w:bidi w:val="0"/>
              <w:spacing w:before="0" w:after="283"/>
              <w:jc w:val="left"/>
              <w:rPr/>
            </w:pPr>
            <w:r>
              <w:rPr/>
              <w:t> </w:t>
            </w:r>
          </w:p>
        </w:tc>
      </w:tr>
      <w:tr>
        <w:trPr/>
        <w:tc>
          <w:tcPr>
            <w:tcW w:w="7191" w:type="dxa"/>
            <w:tcBorders/>
            <w:shd w:fill="CCEEFF" w:val="clear"/>
            <w:vAlign w:val="center"/>
          </w:tcPr>
          <w:p>
            <w:pPr>
              <w:pStyle w:val="TableContents"/>
              <w:bidi w:val="0"/>
              <w:spacing w:before="0" w:after="283"/>
              <w:jc w:val="left"/>
              <w:rPr>
                <w:b/>
              </w:rPr>
            </w:pPr>
            <w:r>
              <w:rPr>
                <w:b/>
              </w:rPr>
              <w:t>Commitments and contingencies (Note 9)</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0"/>
              <w:jc w:val="right"/>
              <w:rPr/>
            </w:pPr>
            <w:r>
              <w:rPr/>
              <w:t> </w:t>
            </w:r>
          </w:p>
        </w:tc>
        <w:tc>
          <w:tcPr>
            <w:tcW w:w="172" w:type="dxa"/>
            <w:tcBorders/>
            <w:shd w:fill="CCEEFF" w:val="clear"/>
            <w:vAlign w:val="center"/>
          </w:tcPr>
          <w:p>
            <w:pPr>
              <w:pStyle w:val="TableContents"/>
              <w:bidi w:val="0"/>
              <w:spacing w:before="0" w:after="283"/>
              <w:jc w:val="left"/>
              <w:rPr/>
            </w:pPr>
            <w:r>
              <w:rPr/>
              <w:t> </w:t>
            </w:r>
          </w:p>
        </w:tc>
      </w:tr>
      <w:tr>
        <w:trPr/>
        <w:tc>
          <w:tcPr>
            <w:tcW w:w="7191" w:type="dxa"/>
            <w:tcBorders/>
            <w:vAlign w:val="center"/>
          </w:tcPr>
          <w:p>
            <w:pPr>
              <w:pStyle w:val="TableContents"/>
              <w:bidi w:val="0"/>
              <w:spacing w:before="0" w:after="283"/>
              <w:jc w:val="left"/>
              <w:rPr>
                <w:b/>
              </w:rPr>
            </w:pPr>
            <w:r>
              <w:rPr>
                <w:b/>
              </w:rPr>
              <w:t>Stockholders’ Equity:</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283"/>
              <w:jc w:val="right"/>
              <w:rPr/>
            </w:pPr>
            <w:r>
              <w:rPr/>
              <w:t> </w:t>
            </w:r>
          </w:p>
        </w:tc>
        <w:tc>
          <w:tcPr>
            <w:tcW w:w="172" w:type="dxa"/>
            <w:tcBorders/>
            <w:vAlign w:val="center"/>
          </w:tcPr>
          <w:p>
            <w:pPr>
              <w:pStyle w:val="TableContents"/>
              <w:bidi w:val="0"/>
              <w:spacing w:before="0" w:after="283"/>
              <w:jc w:val="left"/>
              <w:rPr/>
            </w:pPr>
            <w:r>
              <w:rPr/>
              <w:t> </w:t>
            </w:r>
          </w:p>
        </w:tc>
      </w:tr>
      <w:tr>
        <w:trPr/>
        <w:tc>
          <w:tcPr>
            <w:tcW w:w="7191" w:type="dxa"/>
            <w:tcBorders/>
            <w:shd w:fill="CCEEFF" w:val="clear"/>
            <w:vAlign w:val="center"/>
          </w:tcPr>
          <w:p>
            <w:pPr>
              <w:pStyle w:val="TableContents"/>
              <w:bidi w:val="0"/>
              <w:spacing w:before="0" w:after="283"/>
              <w:jc w:val="left"/>
              <w:rPr/>
            </w:pPr>
            <w:r>
              <w:rPr/>
              <w:t>Preferred stock, $0.001 par value, authorized 10,000,000 shares: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 </w:t>
            </w:r>
          </w:p>
        </w:tc>
        <w:tc>
          <w:tcPr>
            <w:tcW w:w="172" w:type="dxa"/>
            <w:tcBorders/>
            <w:shd w:fill="CCEEFF" w:val="clear"/>
            <w:vAlign w:val="center"/>
          </w:tcPr>
          <w:p>
            <w:pPr>
              <w:pStyle w:val="TableContents"/>
              <w:bidi w:val="0"/>
              <w:spacing w:before="0" w:after="283"/>
              <w:ind w:left="0" w:right="0" w:hanging="180"/>
              <w:jc w:val="left"/>
              <w:rPr/>
            </w:pPr>
            <w:r>
              <w:rPr/>
              <w:t> </w:t>
            </w:r>
          </w:p>
        </w:tc>
      </w:tr>
      <w:tr>
        <w:trPr/>
        <w:tc>
          <w:tcPr>
            <w:tcW w:w="7191" w:type="dxa"/>
            <w:tcBorders/>
            <w:vAlign w:val="center"/>
          </w:tcPr>
          <w:p>
            <w:pPr>
              <w:pStyle w:val="TableContents"/>
              <w:bidi w:val="0"/>
              <w:spacing w:before="0" w:after="283"/>
              <w:jc w:val="left"/>
              <w:rPr/>
            </w:pPr>
            <w:r>
              <w:rPr/>
              <w:t>Series 1 Convertible Preferred Stock, 8,028 shares authorized at June 30, 2026 and December 31, 2025, 872 and 5,615 shares issued and outstanding as of June 30, 2026 and December 31, 2025, respectively</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0"/>
              <w:jc w:val="right"/>
              <w:rPr/>
            </w:pPr>
            <w:r>
              <w:rPr/>
              <w:t>-</w:t>
            </w:r>
          </w:p>
        </w:tc>
        <w:tc>
          <w:tcPr>
            <w:tcW w:w="172" w:type="dxa"/>
            <w:tcBorders/>
            <w:vAlign w:val="center"/>
          </w:tcPr>
          <w:p>
            <w:pPr>
              <w:pStyle w:val="TableContents"/>
              <w:bidi w:val="0"/>
              <w:spacing w:before="0" w:after="283"/>
              <w:ind w:left="0" w:right="0" w:hanging="180"/>
              <w:jc w:val="left"/>
              <w:rPr/>
            </w:pPr>
            <w:r>
              <w:rPr/>
              <w:t> </w:t>
            </w:r>
          </w:p>
        </w:tc>
      </w:tr>
      <w:tr>
        <w:trPr/>
        <w:tc>
          <w:tcPr>
            <w:tcW w:w="7191" w:type="dxa"/>
            <w:tcBorders/>
            <w:shd w:fill="CCEEFF" w:val="clear"/>
            <w:vAlign w:val="center"/>
          </w:tcPr>
          <w:p>
            <w:pPr>
              <w:pStyle w:val="TableContents"/>
              <w:bidi w:val="0"/>
              <w:spacing w:before="0" w:after="283"/>
              <w:jc w:val="left"/>
              <w:rPr/>
            </w:pPr>
            <w:r>
              <w:rPr/>
              <w:t>Common stock, $0.001 par value, 200,000,000 and 100,000,000 shares authorized at June 30, 2026 and December 31, 2025, respectively:</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 </w:t>
            </w:r>
          </w:p>
        </w:tc>
        <w:tc>
          <w:tcPr>
            <w:tcW w:w="172" w:type="dxa"/>
            <w:tcBorders/>
            <w:shd w:fill="CCEEFF" w:val="clear"/>
            <w:vAlign w:val="center"/>
          </w:tcPr>
          <w:p>
            <w:pPr>
              <w:pStyle w:val="TableContents"/>
              <w:bidi w:val="0"/>
              <w:spacing w:before="0" w:after="283"/>
              <w:ind w:left="0" w:right="0" w:hanging="180"/>
              <w:jc w:val="left"/>
              <w:rPr/>
            </w:pPr>
            <w:r>
              <w:rPr/>
              <w:t> </w:t>
            </w:r>
          </w:p>
        </w:tc>
      </w:tr>
      <w:tr>
        <w:trPr/>
        <w:tc>
          <w:tcPr>
            <w:tcW w:w="7191" w:type="dxa"/>
            <w:tcBorders/>
            <w:vAlign w:val="center"/>
          </w:tcPr>
          <w:p>
            <w:pPr>
              <w:pStyle w:val="TableContents"/>
              <w:bidi w:val="0"/>
              <w:spacing w:before="0" w:after="283"/>
              <w:jc w:val="left"/>
              <w:rPr/>
            </w:pPr>
            <w:r>
              <w:rPr/>
              <w:t>Common stock, 59,083,935 and 53,587,260 shares issued and outstanding as of June 30, 2026 and December 31, 2025, respectively</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59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283"/>
              <w:jc w:val="right"/>
              <w:rPr/>
            </w:pPr>
            <w:r>
              <w:rPr/>
              <w:t>54</w:t>
            </w:r>
          </w:p>
        </w:tc>
        <w:tc>
          <w:tcPr>
            <w:tcW w:w="172" w:type="dxa"/>
            <w:tcBorders/>
            <w:vAlign w:val="center"/>
          </w:tcPr>
          <w:p>
            <w:pPr>
              <w:pStyle w:val="TableContents"/>
              <w:bidi w:val="0"/>
              <w:spacing w:before="0" w:after="283"/>
              <w:jc w:val="left"/>
              <w:rPr/>
            </w:pPr>
            <w:r>
              <w:rPr/>
              <w:t> </w:t>
            </w:r>
          </w:p>
        </w:tc>
      </w:tr>
      <w:tr>
        <w:trPr/>
        <w:tc>
          <w:tcPr>
            <w:tcW w:w="7191" w:type="dxa"/>
            <w:tcBorders/>
            <w:shd w:fill="CCEEFF" w:val="clear"/>
            <w:vAlign w:val="center"/>
          </w:tcPr>
          <w:p>
            <w:pPr>
              <w:pStyle w:val="TableContents"/>
              <w:bidi w:val="0"/>
              <w:spacing w:before="0" w:after="283"/>
              <w:jc w:val="left"/>
              <w:rPr/>
            </w:pPr>
            <w:r>
              <w:rPr/>
              <w:t>Additional paid-in capital</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503,484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498,687</w:t>
            </w:r>
          </w:p>
        </w:tc>
        <w:tc>
          <w:tcPr>
            <w:tcW w:w="172" w:type="dxa"/>
            <w:tcBorders/>
            <w:shd w:fill="CCEEFF" w:val="clear"/>
            <w:vAlign w:val="center"/>
          </w:tcPr>
          <w:p>
            <w:pPr>
              <w:pStyle w:val="TableContents"/>
              <w:bidi w:val="0"/>
              <w:spacing w:before="0" w:after="283"/>
              <w:jc w:val="left"/>
              <w:rPr/>
            </w:pPr>
            <w:r>
              <w:rPr/>
              <w:t> </w:t>
            </w:r>
          </w:p>
        </w:tc>
      </w:tr>
      <w:tr>
        <w:trPr/>
        <w:tc>
          <w:tcPr>
            <w:tcW w:w="7191" w:type="dxa"/>
            <w:tcBorders/>
            <w:vAlign w:val="center"/>
          </w:tcPr>
          <w:p>
            <w:pPr>
              <w:pStyle w:val="TableContents"/>
              <w:bidi w:val="0"/>
              <w:spacing w:before="0" w:after="283"/>
              <w:jc w:val="left"/>
              <w:rPr/>
            </w:pPr>
            <w:r>
              <w:rPr/>
              <w:t>Accumulated deficit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(341,869</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283"/>
              <w:jc w:val="right"/>
              <w:rPr/>
            </w:pPr>
            <w:r>
              <w:rPr/>
              <w:t>(302,419</w:t>
            </w:r>
          </w:p>
        </w:tc>
        <w:tc>
          <w:tcPr>
            <w:tcW w:w="172" w:type="dxa"/>
            <w:tcBorders/>
            <w:vAlign w:val="center"/>
          </w:tcPr>
          <w:p>
            <w:pPr>
              <w:pStyle w:val="TableContents"/>
              <w:bidi w:val="0"/>
              <w:spacing w:before="0" w:after="283"/>
              <w:jc w:val="left"/>
              <w:rPr/>
            </w:pPr>
            <w:r>
              <w:rPr/>
              <w:t>)</w:t>
            </w:r>
          </w:p>
        </w:tc>
      </w:tr>
      <w:tr>
        <w:trPr/>
        <w:tc>
          <w:tcPr>
            <w:tcW w:w="7191" w:type="dxa"/>
            <w:tcBorders/>
            <w:shd w:fill="CCEEFF" w:val="clear"/>
            <w:vAlign w:val="center"/>
          </w:tcPr>
          <w:p>
            <w:pPr>
              <w:pStyle w:val="TableContents"/>
              <w:bidi w:val="0"/>
              <w:spacing w:before="0" w:after="283"/>
              <w:jc w:val="left"/>
              <w:rPr/>
            </w:pPr>
            <w:r>
              <w:rPr/>
              <w:t>Accumulated other comprehensive income (loss)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(363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2" w:type="dxa"/>
            <w:tcBorders>
              <w:bottom w:val="single" w:sz="12" w:space="0" w:color="000000"/>
            </w:tcBorders>
            <w:shd w:fill="CCEEFF" w:val="clear"/>
            <w:tcMar>
              <w:bottom w:w="28" w:type="dxa"/>
            </w:tcMar>
            <w:vAlign w:val="center"/>
          </w:tcPr>
          <w:p>
            <w:pPr>
              <w:pStyle w:val="TableContents"/>
              <w:bidi w:val="0"/>
              <w:spacing w:before="0" w:after="283"/>
              <w:jc w:val="right"/>
              <w:rPr/>
            </w:pPr>
            <w:r>
              <w:rPr/>
              <w:t>90</w:t>
            </w:r>
          </w:p>
        </w:tc>
        <w:tc>
          <w:tcPr>
            <w:tcW w:w="172" w:type="dxa"/>
            <w:tcBorders/>
            <w:shd w:fill="CCEEFF" w:val="clear"/>
            <w:vAlign w:val="center"/>
          </w:tcPr>
          <w:p>
            <w:pPr>
              <w:pStyle w:val="TableContents"/>
              <w:bidi w:val="0"/>
              <w:spacing w:before="0" w:after="283"/>
              <w:jc w:val="left"/>
              <w:rPr/>
            </w:pPr>
            <w:r>
              <w:rPr/>
              <w:t> </w:t>
            </w:r>
          </w:p>
        </w:tc>
      </w:tr>
      <w:tr>
        <w:trPr/>
        <w:tc>
          <w:tcPr>
            <w:tcW w:w="7191" w:type="dxa"/>
            <w:tcBorders/>
            <w:vAlign w:val="center"/>
          </w:tcPr>
          <w:p>
            <w:pPr>
              <w:pStyle w:val="TableContents"/>
              <w:bidi w:val="0"/>
              <w:spacing w:before="0" w:after="283"/>
              <w:jc w:val="left"/>
              <w:rPr/>
            </w:pPr>
            <w:r>
              <w:rPr/>
              <w:t>Total stockholders’ equity</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pPr>
            <w:r>
              <w:rPr/>
              <w:t>161,311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32" w:type="dxa"/>
            <w:tcBorders>
              <w:bottom w:val="single" w:sz="12" w:space="0" w:color="000000"/>
            </w:tcBorders>
            <w:tcMar>
              <w:bottom w:w="28" w:type="dxa"/>
            </w:tcMar>
            <w:vAlign w:val="center"/>
          </w:tcPr>
          <w:p>
            <w:pPr>
              <w:pStyle w:val="TableContents"/>
              <w:bidi w:val="0"/>
              <w:spacing w:before="0" w:after="283"/>
              <w:jc w:val="right"/>
              <w:rPr/>
            </w:pPr>
            <w:r>
              <w:rPr/>
              <w:t>196,412</w:t>
            </w:r>
          </w:p>
        </w:tc>
        <w:tc>
          <w:tcPr>
            <w:tcW w:w="172" w:type="dxa"/>
            <w:tcBorders/>
            <w:vAlign w:val="center"/>
          </w:tcPr>
          <w:p>
            <w:pPr>
              <w:pStyle w:val="TableContents"/>
              <w:bidi w:val="0"/>
              <w:spacing w:before="0" w:after="283"/>
              <w:jc w:val="left"/>
              <w:rPr/>
            </w:pPr>
            <w:r>
              <w:rPr/>
              <w:t> </w:t>
            </w:r>
          </w:p>
        </w:tc>
      </w:tr>
      <w:tr>
        <w:trPr/>
        <w:tc>
          <w:tcPr>
            <w:tcW w:w="7191" w:type="dxa"/>
            <w:tcBorders/>
            <w:shd w:fill="CCEEFF" w:val="clear"/>
            <w:vAlign w:val="center"/>
          </w:tcPr>
          <w:p>
            <w:pPr>
              <w:pStyle w:val="TableContents"/>
              <w:bidi w:val="0"/>
              <w:spacing w:before="0" w:after="283"/>
              <w:jc w:val="left"/>
              <w:rPr/>
            </w:pPr>
            <w:r>
              <w:rPr/>
              <w:t>Total liabilities and stockholders’ equity</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05" w:type="dxa"/>
            <w:tcBorders>
              <w:bottom w:val="double" w:sz="10" w:space="0" w:color="000000"/>
            </w:tcBorders>
            <w:shd w:fill="CCEEFF" w:val="clear"/>
            <w:tcMar>
              <w:bottom w:w="28" w:type="dxa"/>
            </w:tcMar>
            <w:vAlign w:val="center"/>
          </w:tcPr>
          <w:p>
            <w:pPr>
              <w:pStyle w:val="TableContents"/>
              <w:bidi w:val="0"/>
              <w:spacing w:before="0" w:after="283"/>
              <w:jc w:val="right"/>
              <w:rPr/>
            </w:pPr>
            <w:r>
              <w:rPr/>
              <w:t>176,093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32" w:type="dxa"/>
            <w:tcBorders>
              <w:bottom w:val="double" w:sz="10" w:space="0" w:color="000000"/>
            </w:tcBorders>
            <w:shd w:fill="CCEEFF" w:val="clear"/>
            <w:tcMar>
              <w:bottom w:w="28" w:type="dxa"/>
            </w:tcMar>
            <w:vAlign w:val="center"/>
          </w:tcPr>
          <w:p>
            <w:pPr>
              <w:pStyle w:val="TableContents"/>
              <w:bidi w:val="0"/>
              <w:spacing w:before="0" w:after="283"/>
              <w:jc w:val="right"/>
              <w:rPr/>
            </w:pPr>
            <w:r>
              <w:rPr/>
              <w:t>209,468</w:t>
            </w:r>
          </w:p>
        </w:tc>
        <w:tc>
          <w:tcPr>
            <w:tcW w:w="17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a_004"/>
      <w:bookmarkEnd w:id="5"/>
      <w:r>
        <w:rPr>
          <w:rFonts w:ascii="Times New Roman;Times;Serif" w:hAnsi="Times New Roman;Times;Serif"/>
          <w:b/>
          <w:i w:val="false"/>
          <w:caps w:val="false"/>
          <w:smallCaps w:val="false"/>
          <w:sz w:val="20"/>
        </w:rPr>
        <w:t>PROTARA THERAPEUTICS,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Operations and Comprehensive Loss (Unaudited)</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014"/>
        <w:gridCol w:w="90"/>
        <w:gridCol w:w="175"/>
        <w:gridCol w:w="1164"/>
        <w:gridCol w:w="128"/>
        <w:gridCol w:w="92"/>
        <w:gridCol w:w="175"/>
        <w:gridCol w:w="1164"/>
        <w:gridCol w:w="125"/>
        <w:gridCol w:w="90"/>
        <w:gridCol w:w="170"/>
        <w:gridCol w:w="1130"/>
        <w:gridCol w:w="125"/>
        <w:gridCol w:w="90"/>
        <w:gridCol w:w="170"/>
        <w:gridCol w:w="1130"/>
        <w:gridCol w:w="173"/>
      </w:tblGrid>
      <w:tr>
        <w:trPr/>
        <w:tc>
          <w:tcPr>
            <w:tcW w:w="4014"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89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Three Months Ended</w:t>
              <w:br/>
              <w:t>June 30,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1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Six Months Ended </w:t>
              <w:br/>
              <w:t>June 30,</w:t>
            </w:r>
          </w:p>
        </w:tc>
        <w:tc>
          <w:tcPr>
            <w:tcW w:w="173" w:type="dxa"/>
            <w:tcBorders/>
            <w:vAlign w:val="center"/>
          </w:tcPr>
          <w:p>
            <w:pPr>
              <w:pStyle w:val="TableContents"/>
              <w:bidi w:val="0"/>
              <w:spacing w:before="0" w:after="283"/>
              <w:jc w:val="left"/>
              <w:rPr/>
            </w:pPr>
            <w:r>
              <w:rPr/>
              <w:t> </w:t>
            </w:r>
          </w:p>
        </w:tc>
      </w:tr>
      <w:tr>
        <w:trPr/>
        <w:tc>
          <w:tcPr>
            <w:tcW w:w="4014"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33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28"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33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73" w:type="dxa"/>
            <w:tcBorders/>
            <w:vAlign w:val="center"/>
          </w:tcPr>
          <w:p>
            <w:pPr>
              <w:pStyle w:val="TableContents"/>
              <w:bidi w:val="0"/>
              <w:spacing w:before="0" w:after="283"/>
              <w:jc w:val="left"/>
              <w:rPr/>
            </w:pPr>
            <w:r>
              <w:rPr/>
              <w:t> </w:t>
            </w:r>
          </w:p>
        </w:tc>
      </w:tr>
      <w:tr>
        <w:trPr/>
        <w:tc>
          <w:tcPr>
            <w:tcW w:w="401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39" w:type="dxa"/>
            <w:gridSpan w:val="2"/>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339"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r>
      <w:tr>
        <w:trPr/>
        <w:tc>
          <w:tcPr>
            <w:tcW w:w="4014" w:type="dxa"/>
            <w:tcBorders/>
            <w:vAlign w:val="center"/>
          </w:tcPr>
          <w:p>
            <w:pPr>
              <w:pStyle w:val="TableContents"/>
              <w:bidi w:val="0"/>
              <w:spacing w:before="0" w:after="283"/>
              <w:jc w:val="left"/>
              <w:rPr/>
            </w:pPr>
            <w:r>
              <w:rPr/>
              <w:t>Operating expenses:</w:t>
            </w:r>
          </w:p>
        </w:tc>
        <w:tc>
          <w:tcPr>
            <w:tcW w:w="90" w:type="dxa"/>
            <w:tcBorders/>
            <w:vAlign w:val="center"/>
          </w:tcPr>
          <w:p>
            <w:pPr>
              <w:pStyle w:val="TableContents"/>
              <w:bidi w:val="0"/>
              <w:spacing w:before="0" w:after="283"/>
              <w:jc w:val="left"/>
              <w:rPr/>
            </w:pPr>
            <w:r>
              <w:rPr/>
              <w:t> </w:t>
            </w:r>
          </w:p>
        </w:tc>
        <w:tc>
          <w:tcPr>
            <w:tcW w:w="1339" w:type="dxa"/>
            <w:gridSpan w:val="2"/>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339"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r>
      <w:tr>
        <w:trPr/>
        <w:tc>
          <w:tcPr>
            <w:tcW w:w="4014" w:type="dxa"/>
            <w:tcBorders/>
            <w:shd w:fill="CCEEFF" w:val="clear"/>
            <w:vAlign w:val="center"/>
          </w:tcPr>
          <w:p>
            <w:pPr>
              <w:pStyle w:val="TableContents"/>
              <w:bidi w:val="0"/>
              <w:spacing w:before="0" w:after="283"/>
              <w:jc w:val="left"/>
              <w:rPr/>
            </w:pPr>
            <w:r>
              <w:rPr/>
              <w:t>Research and development</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1164" w:type="dxa"/>
            <w:tcBorders/>
            <w:shd w:fill="CCEEFF" w:val="clear"/>
            <w:vAlign w:val="center"/>
          </w:tcPr>
          <w:p>
            <w:pPr>
              <w:pStyle w:val="TableContents"/>
              <w:bidi w:val="0"/>
              <w:spacing w:before="0" w:after="283"/>
              <w:jc w:val="right"/>
              <w:rPr/>
            </w:pPr>
            <w:r>
              <w:rPr/>
              <w:t>16,955</w:t>
            </w:r>
          </w:p>
        </w:tc>
        <w:tc>
          <w:tcPr>
            <w:tcW w:w="128"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1164" w:type="dxa"/>
            <w:tcBorders/>
            <w:shd w:fill="CCEEFF" w:val="clear"/>
            <w:vAlign w:val="center"/>
          </w:tcPr>
          <w:p>
            <w:pPr>
              <w:pStyle w:val="TableContents"/>
              <w:bidi w:val="0"/>
              <w:spacing w:before="0" w:after="283"/>
              <w:jc w:val="right"/>
              <w:rPr/>
            </w:pPr>
            <w:r>
              <w:rPr/>
              <w:t>10,770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30,517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19,918</w:t>
            </w:r>
          </w:p>
        </w:tc>
        <w:tc>
          <w:tcPr>
            <w:tcW w:w="173" w:type="dxa"/>
            <w:tcBorders/>
            <w:shd w:fill="CCEEFF" w:val="clear"/>
            <w:vAlign w:val="center"/>
          </w:tcPr>
          <w:p>
            <w:pPr>
              <w:pStyle w:val="TableContents"/>
              <w:bidi w:val="0"/>
              <w:spacing w:before="0" w:after="283"/>
              <w:jc w:val="left"/>
              <w:rPr/>
            </w:pPr>
            <w:r>
              <w:rPr/>
              <w:t> </w:t>
            </w:r>
          </w:p>
        </w:tc>
      </w:tr>
      <w:tr>
        <w:trPr/>
        <w:tc>
          <w:tcPr>
            <w:tcW w:w="4014" w:type="dxa"/>
            <w:tcBorders/>
            <w:vAlign w:val="center"/>
          </w:tcPr>
          <w:p>
            <w:pPr>
              <w:pStyle w:val="TableContents"/>
              <w:bidi w:val="0"/>
              <w:spacing w:before="0" w:after="283"/>
              <w:jc w:val="left"/>
              <w:rPr/>
            </w:pPr>
            <w:r>
              <w:rPr/>
              <w:t>General and administrative</w:t>
            </w:r>
          </w:p>
        </w:tc>
        <w:tc>
          <w:tcPr>
            <w:tcW w:w="90" w:type="dxa"/>
            <w:tcBorders/>
            <w:vAlign w:val="center"/>
          </w:tcPr>
          <w:p>
            <w:pPr>
              <w:pStyle w:val="TableContents"/>
              <w:bidi w:val="0"/>
              <w:spacing w:before="0" w:after="283"/>
              <w:jc w:val="left"/>
              <w:rPr/>
            </w:pPr>
            <w:r>
              <w:rPr/>
              <w:t> </w:t>
            </w:r>
          </w:p>
        </w:tc>
        <w:tc>
          <w:tcPr>
            <w:tcW w:w="175" w:type="dxa"/>
            <w:tcBorders>
              <w:bottom w:val="single" w:sz="12" w:space="0" w:color="000000"/>
            </w:tcBorders>
            <w:tcMar>
              <w:bottom w:w="28" w:type="dxa"/>
            </w:tcMar>
            <w:vAlign w:val="center"/>
          </w:tcPr>
          <w:p>
            <w:pPr>
              <w:pStyle w:val="TableContents"/>
              <w:bidi w:val="0"/>
              <w:spacing w:before="0" w:after="283"/>
              <w:jc w:val="left"/>
              <w:rPr/>
            </w:pPr>
            <w:r>
              <w:rPr/>
              <w:t> </w:t>
            </w:r>
          </w:p>
        </w:tc>
        <w:tc>
          <w:tcPr>
            <w:tcW w:w="1164" w:type="dxa"/>
            <w:tcBorders>
              <w:bottom w:val="single" w:sz="12" w:space="0" w:color="000000"/>
            </w:tcBorders>
            <w:tcMar>
              <w:bottom w:w="28" w:type="dxa"/>
            </w:tcMar>
            <w:vAlign w:val="center"/>
          </w:tcPr>
          <w:p>
            <w:pPr>
              <w:pStyle w:val="TableContents"/>
              <w:bidi w:val="0"/>
              <w:spacing w:before="0" w:after="283"/>
              <w:jc w:val="right"/>
              <w:rPr/>
            </w:pPr>
            <w:r>
              <w:rPr/>
              <w:t>6,369</w:t>
            </w:r>
          </w:p>
        </w:tc>
        <w:tc>
          <w:tcPr>
            <w:tcW w:w="128"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75" w:type="dxa"/>
            <w:tcBorders>
              <w:bottom w:val="single" w:sz="12" w:space="0" w:color="000000"/>
            </w:tcBorders>
            <w:tcMar>
              <w:bottom w:w="28" w:type="dxa"/>
            </w:tcMar>
            <w:vAlign w:val="center"/>
          </w:tcPr>
          <w:p>
            <w:pPr>
              <w:pStyle w:val="TableContents"/>
              <w:bidi w:val="0"/>
              <w:spacing w:before="0" w:after="283"/>
              <w:jc w:val="left"/>
              <w:rPr/>
            </w:pPr>
            <w:r>
              <w:rPr/>
              <w:t> </w:t>
            </w:r>
          </w:p>
        </w:tc>
        <w:tc>
          <w:tcPr>
            <w:tcW w:w="1164" w:type="dxa"/>
            <w:tcBorders>
              <w:bottom w:val="single" w:sz="12" w:space="0" w:color="000000"/>
            </w:tcBorders>
            <w:tcMar>
              <w:bottom w:w="28" w:type="dxa"/>
            </w:tcMar>
            <w:vAlign w:val="center"/>
          </w:tcPr>
          <w:p>
            <w:pPr>
              <w:pStyle w:val="TableContents"/>
              <w:bidi w:val="0"/>
              <w:spacing w:before="0" w:after="283"/>
              <w:jc w:val="right"/>
              <w:rPr/>
            </w:pPr>
            <w:r>
              <w:rPr/>
              <w:t>5,816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12,436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10,792</w:t>
            </w:r>
          </w:p>
        </w:tc>
        <w:tc>
          <w:tcPr>
            <w:tcW w:w="173" w:type="dxa"/>
            <w:tcBorders/>
            <w:vAlign w:val="center"/>
          </w:tcPr>
          <w:p>
            <w:pPr>
              <w:pStyle w:val="TableContents"/>
              <w:bidi w:val="0"/>
              <w:spacing w:before="0" w:after="283"/>
              <w:jc w:val="left"/>
              <w:rPr/>
            </w:pPr>
            <w:r>
              <w:rPr/>
              <w:t> </w:t>
            </w:r>
          </w:p>
        </w:tc>
      </w:tr>
      <w:tr>
        <w:trPr/>
        <w:tc>
          <w:tcPr>
            <w:tcW w:w="4014" w:type="dxa"/>
            <w:tcBorders/>
            <w:shd w:fill="CCEEFF" w:val="clear"/>
            <w:vAlign w:val="center"/>
          </w:tcPr>
          <w:p>
            <w:pPr>
              <w:pStyle w:val="TableContents"/>
              <w:bidi w:val="0"/>
              <w:spacing w:before="0" w:after="283"/>
              <w:jc w:val="left"/>
              <w:rPr/>
            </w:pPr>
            <w:r>
              <w:rPr/>
              <w:t>Total operating expenses</w:t>
            </w:r>
          </w:p>
        </w:tc>
        <w:tc>
          <w:tcPr>
            <w:tcW w:w="90" w:type="dxa"/>
            <w:tcBorders/>
            <w:shd w:fill="CCEEFF" w:val="clear"/>
            <w:vAlign w:val="center"/>
          </w:tcPr>
          <w:p>
            <w:pPr>
              <w:pStyle w:val="TableContents"/>
              <w:bidi w:val="0"/>
              <w:spacing w:before="0" w:after="283"/>
              <w:jc w:val="left"/>
              <w:rPr/>
            </w:pPr>
            <w:r>
              <w:rPr/>
              <w:t> </w:t>
            </w:r>
          </w:p>
        </w:tc>
        <w:tc>
          <w:tcPr>
            <w:tcW w:w="17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4" w:type="dxa"/>
            <w:tcBorders>
              <w:bottom w:val="single" w:sz="12" w:space="0" w:color="000000"/>
            </w:tcBorders>
            <w:shd w:fill="CCEEFF" w:val="clear"/>
            <w:tcMar>
              <w:bottom w:w="28" w:type="dxa"/>
            </w:tcMar>
            <w:vAlign w:val="center"/>
          </w:tcPr>
          <w:p>
            <w:pPr>
              <w:pStyle w:val="TableContents"/>
              <w:bidi w:val="0"/>
              <w:spacing w:before="0" w:after="283"/>
              <w:jc w:val="right"/>
              <w:rPr/>
            </w:pPr>
            <w:r>
              <w:rPr/>
              <w:t>23,324</w:t>
            </w:r>
          </w:p>
        </w:tc>
        <w:tc>
          <w:tcPr>
            <w:tcW w:w="128"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7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4" w:type="dxa"/>
            <w:tcBorders>
              <w:bottom w:val="single" w:sz="12" w:space="0" w:color="000000"/>
            </w:tcBorders>
            <w:shd w:fill="CCEEFF" w:val="clear"/>
            <w:tcMar>
              <w:bottom w:w="28" w:type="dxa"/>
            </w:tcMar>
            <w:vAlign w:val="center"/>
          </w:tcPr>
          <w:p>
            <w:pPr>
              <w:pStyle w:val="TableContents"/>
              <w:bidi w:val="0"/>
              <w:spacing w:before="0" w:after="283"/>
              <w:jc w:val="right"/>
              <w:rPr/>
            </w:pPr>
            <w:r>
              <w:rPr/>
              <w:t>16,586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42,953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30,710</w:t>
            </w:r>
          </w:p>
        </w:tc>
        <w:tc>
          <w:tcPr>
            <w:tcW w:w="173" w:type="dxa"/>
            <w:tcBorders/>
            <w:shd w:fill="CCEEFF" w:val="clear"/>
            <w:vAlign w:val="center"/>
          </w:tcPr>
          <w:p>
            <w:pPr>
              <w:pStyle w:val="TableContents"/>
              <w:bidi w:val="0"/>
              <w:spacing w:before="0" w:after="283"/>
              <w:jc w:val="left"/>
              <w:rPr/>
            </w:pPr>
            <w:r>
              <w:rPr/>
              <w:t> </w:t>
            </w:r>
          </w:p>
        </w:tc>
      </w:tr>
      <w:tr>
        <w:trPr/>
        <w:tc>
          <w:tcPr>
            <w:tcW w:w="4014" w:type="dxa"/>
            <w:tcBorders/>
            <w:vAlign w:val="center"/>
          </w:tcPr>
          <w:p>
            <w:pPr>
              <w:pStyle w:val="TableContents"/>
              <w:bidi w:val="0"/>
              <w:spacing w:before="0" w:after="283"/>
              <w:jc w:val="left"/>
              <w:rPr/>
            </w:pPr>
            <w:r>
              <w:rPr/>
              <w:t>Income (Loss) from operations</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1164" w:type="dxa"/>
            <w:tcBorders/>
            <w:vAlign w:val="center"/>
          </w:tcPr>
          <w:p>
            <w:pPr>
              <w:pStyle w:val="TableContents"/>
              <w:bidi w:val="0"/>
              <w:spacing w:before="0" w:after="283"/>
              <w:jc w:val="right"/>
              <w:rPr/>
            </w:pPr>
            <w:r>
              <w:rPr/>
              <w:t>(23,324</w:t>
            </w:r>
          </w:p>
        </w:tc>
        <w:tc>
          <w:tcPr>
            <w:tcW w:w="128" w:type="dxa"/>
            <w:tcBorders/>
            <w:vAlign w:val="center"/>
          </w:tcPr>
          <w:p>
            <w:pPr>
              <w:pStyle w:val="TableContents"/>
              <w:bidi w:val="0"/>
              <w:spacing w:before="0" w:after="283"/>
              <w:jc w:val="left"/>
              <w:rPr/>
            </w:pPr>
            <w:r>
              <w:rPr/>
              <w:t>)</w:t>
            </w:r>
          </w:p>
        </w:tc>
        <w:tc>
          <w:tcPr>
            <w:tcW w:w="92"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1164" w:type="dxa"/>
            <w:tcBorders/>
            <w:vAlign w:val="center"/>
          </w:tcPr>
          <w:p>
            <w:pPr>
              <w:pStyle w:val="TableContents"/>
              <w:bidi w:val="0"/>
              <w:spacing w:before="0" w:after="283"/>
              <w:jc w:val="right"/>
              <w:rPr/>
            </w:pPr>
            <w:r>
              <w:rPr/>
              <w:t>(16,586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(42,953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(30,710</w:t>
            </w:r>
          </w:p>
        </w:tc>
        <w:tc>
          <w:tcPr>
            <w:tcW w:w="173" w:type="dxa"/>
            <w:tcBorders/>
            <w:vAlign w:val="center"/>
          </w:tcPr>
          <w:p>
            <w:pPr>
              <w:pStyle w:val="TableContents"/>
              <w:bidi w:val="0"/>
              <w:spacing w:before="0" w:after="283"/>
              <w:jc w:val="left"/>
              <w:rPr/>
            </w:pPr>
            <w:r>
              <w:rPr/>
              <w:t>)</w:t>
            </w:r>
          </w:p>
        </w:tc>
      </w:tr>
      <w:tr>
        <w:trPr/>
        <w:tc>
          <w:tcPr>
            <w:tcW w:w="4014" w:type="dxa"/>
            <w:tcBorders/>
            <w:shd w:fill="CCEEFF" w:val="clear"/>
            <w:vAlign w:val="center"/>
          </w:tcPr>
          <w:p>
            <w:pPr>
              <w:pStyle w:val="TableContents"/>
              <w:bidi w:val="0"/>
              <w:spacing w:before="0" w:after="283"/>
              <w:jc w:val="left"/>
              <w:rPr/>
            </w:pPr>
            <w:r>
              <w:rPr/>
              <w:t>Other income (expense), net:</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pPr>
            <w:r>
              <w:rPr/>
              <w:t> </w:t>
            </w:r>
          </w:p>
        </w:tc>
        <w:tc>
          <w:tcPr>
            <w:tcW w:w="128"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73" w:type="dxa"/>
            <w:tcBorders/>
            <w:shd w:fill="CCEEFF" w:val="clear"/>
            <w:vAlign w:val="center"/>
          </w:tcPr>
          <w:p>
            <w:pPr>
              <w:pStyle w:val="TableContents"/>
              <w:bidi w:val="0"/>
              <w:spacing w:before="0" w:after="283"/>
              <w:jc w:val="left"/>
              <w:rPr/>
            </w:pPr>
            <w:r>
              <w:rPr/>
              <w:t> </w:t>
            </w:r>
          </w:p>
        </w:tc>
      </w:tr>
      <w:tr>
        <w:trPr/>
        <w:tc>
          <w:tcPr>
            <w:tcW w:w="4014" w:type="dxa"/>
            <w:tcBorders/>
            <w:vAlign w:val="center"/>
          </w:tcPr>
          <w:p>
            <w:pPr>
              <w:pStyle w:val="TableContents"/>
              <w:bidi w:val="0"/>
              <w:spacing w:before="0" w:after="283"/>
              <w:jc w:val="left"/>
              <w:rPr/>
            </w:pPr>
            <w:r>
              <w:rPr/>
              <w:t>Interest and investment income (expense)</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1164" w:type="dxa"/>
            <w:tcBorders/>
            <w:vAlign w:val="center"/>
          </w:tcPr>
          <w:p>
            <w:pPr>
              <w:pStyle w:val="TableContents"/>
              <w:bidi w:val="0"/>
              <w:spacing w:before="0" w:after="283"/>
              <w:jc w:val="right"/>
              <w:rPr/>
            </w:pPr>
            <w:r>
              <w:rPr/>
              <w:t>1,656</w:t>
            </w:r>
          </w:p>
        </w:tc>
        <w:tc>
          <w:tcPr>
            <w:tcW w:w="128"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1164" w:type="dxa"/>
            <w:tcBorders/>
            <w:vAlign w:val="center"/>
          </w:tcPr>
          <w:p>
            <w:pPr>
              <w:pStyle w:val="TableContents"/>
              <w:bidi w:val="0"/>
              <w:spacing w:before="0" w:after="283"/>
              <w:jc w:val="right"/>
              <w:rPr/>
            </w:pPr>
            <w:r>
              <w:rPr/>
              <w:t>1,626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3,503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3,355</w:t>
            </w:r>
          </w:p>
        </w:tc>
        <w:tc>
          <w:tcPr>
            <w:tcW w:w="173" w:type="dxa"/>
            <w:tcBorders/>
            <w:vAlign w:val="center"/>
          </w:tcPr>
          <w:p>
            <w:pPr>
              <w:pStyle w:val="TableContents"/>
              <w:bidi w:val="0"/>
              <w:spacing w:before="0" w:after="283"/>
              <w:jc w:val="left"/>
              <w:rPr/>
            </w:pPr>
            <w:r>
              <w:rPr/>
              <w:t> </w:t>
            </w:r>
          </w:p>
        </w:tc>
      </w:tr>
      <w:tr>
        <w:trPr/>
        <w:tc>
          <w:tcPr>
            <w:tcW w:w="4014" w:type="dxa"/>
            <w:tcBorders/>
            <w:shd w:fill="CCEEFF" w:val="clear"/>
            <w:vAlign w:val="center"/>
          </w:tcPr>
          <w:p>
            <w:pPr>
              <w:pStyle w:val="TableContents"/>
              <w:bidi w:val="0"/>
              <w:spacing w:before="0" w:after="283"/>
              <w:jc w:val="left"/>
              <w:rPr/>
            </w:pPr>
            <w:r>
              <w:rPr/>
              <w:t>Other income (expense)</w:t>
            </w:r>
          </w:p>
        </w:tc>
        <w:tc>
          <w:tcPr>
            <w:tcW w:w="90" w:type="dxa"/>
            <w:tcBorders/>
            <w:shd w:fill="CCEEFF" w:val="clear"/>
            <w:vAlign w:val="center"/>
          </w:tcPr>
          <w:p>
            <w:pPr>
              <w:pStyle w:val="TableContents"/>
              <w:bidi w:val="0"/>
              <w:spacing w:before="0" w:after="283"/>
              <w:jc w:val="left"/>
              <w:rPr/>
            </w:pPr>
            <w:r>
              <w:rPr/>
              <w:t> </w:t>
            </w:r>
          </w:p>
        </w:tc>
        <w:tc>
          <w:tcPr>
            <w:tcW w:w="17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4"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8"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7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4"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481</w:t>
            </w:r>
          </w:p>
        </w:tc>
        <w:tc>
          <w:tcPr>
            <w:tcW w:w="173" w:type="dxa"/>
            <w:tcBorders/>
            <w:shd w:fill="CCEEFF" w:val="clear"/>
            <w:vAlign w:val="center"/>
          </w:tcPr>
          <w:p>
            <w:pPr>
              <w:pStyle w:val="TableContents"/>
              <w:bidi w:val="0"/>
              <w:spacing w:before="0" w:after="283"/>
              <w:jc w:val="left"/>
              <w:rPr/>
            </w:pPr>
            <w:r>
              <w:rPr/>
              <w:t> </w:t>
            </w:r>
          </w:p>
        </w:tc>
      </w:tr>
      <w:tr>
        <w:trPr/>
        <w:tc>
          <w:tcPr>
            <w:tcW w:w="4014" w:type="dxa"/>
            <w:tcBorders/>
            <w:vAlign w:val="center"/>
          </w:tcPr>
          <w:p>
            <w:pPr>
              <w:pStyle w:val="TableContents"/>
              <w:bidi w:val="0"/>
              <w:spacing w:before="0" w:after="283"/>
              <w:jc w:val="left"/>
              <w:rPr/>
            </w:pPr>
            <w:r>
              <w:rPr/>
              <w:t>Other income (expense), net</w:t>
            </w:r>
          </w:p>
        </w:tc>
        <w:tc>
          <w:tcPr>
            <w:tcW w:w="90" w:type="dxa"/>
            <w:tcBorders/>
            <w:vAlign w:val="center"/>
          </w:tcPr>
          <w:p>
            <w:pPr>
              <w:pStyle w:val="TableContents"/>
              <w:bidi w:val="0"/>
              <w:spacing w:before="0" w:after="283"/>
              <w:jc w:val="left"/>
              <w:rPr/>
            </w:pPr>
            <w:r>
              <w:rPr/>
              <w:t> </w:t>
            </w:r>
          </w:p>
        </w:tc>
        <w:tc>
          <w:tcPr>
            <w:tcW w:w="175" w:type="dxa"/>
            <w:tcBorders>
              <w:bottom w:val="single" w:sz="12" w:space="0" w:color="000000"/>
            </w:tcBorders>
            <w:tcMar>
              <w:bottom w:w="28" w:type="dxa"/>
            </w:tcMar>
            <w:vAlign w:val="center"/>
          </w:tcPr>
          <w:p>
            <w:pPr>
              <w:pStyle w:val="TableContents"/>
              <w:bidi w:val="0"/>
              <w:spacing w:before="0" w:after="283"/>
              <w:jc w:val="left"/>
              <w:rPr/>
            </w:pPr>
            <w:r>
              <w:rPr/>
              <w:t> </w:t>
            </w:r>
          </w:p>
        </w:tc>
        <w:tc>
          <w:tcPr>
            <w:tcW w:w="1164" w:type="dxa"/>
            <w:tcBorders>
              <w:bottom w:val="single" w:sz="12" w:space="0" w:color="000000"/>
            </w:tcBorders>
            <w:tcMar>
              <w:bottom w:w="28" w:type="dxa"/>
            </w:tcMar>
            <w:vAlign w:val="center"/>
          </w:tcPr>
          <w:p>
            <w:pPr>
              <w:pStyle w:val="TableContents"/>
              <w:bidi w:val="0"/>
              <w:spacing w:before="0" w:after="283"/>
              <w:jc w:val="right"/>
              <w:rPr/>
            </w:pPr>
            <w:r>
              <w:rPr/>
              <w:t>1,656</w:t>
            </w:r>
          </w:p>
        </w:tc>
        <w:tc>
          <w:tcPr>
            <w:tcW w:w="128"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75" w:type="dxa"/>
            <w:tcBorders>
              <w:bottom w:val="single" w:sz="12" w:space="0" w:color="000000"/>
            </w:tcBorders>
            <w:tcMar>
              <w:bottom w:w="28" w:type="dxa"/>
            </w:tcMar>
            <w:vAlign w:val="center"/>
          </w:tcPr>
          <w:p>
            <w:pPr>
              <w:pStyle w:val="TableContents"/>
              <w:bidi w:val="0"/>
              <w:spacing w:before="0" w:after="283"/>
              <w:jc w:val="left"/>
              <w:rPr/>
            </w:pPr>
            <w:r>
              <w:rPr/>
              <w:t> </w:t>
            </w:r>
          </w:p>
        </w:tc>
        <w:tc>
          <w:tcPr>
            <w:tcW w:w="1164" w:type="dxa"/>
            <w:tcBorders>
              <w:bottom w:val="single" w:sz="12" w:space="0" w:color="000000"/>
            </w:tcBorders>
            <w:tcMar>
              <w:bottom w:w="28" w:type="dxa"/>
            </w:tcMar>
            <w:vAlign w:val="center"/>
          </w:tcPr>
          <w:p>
            <w:pPr>
              <w:pStyle w:val="TableContents"/>
              <w:bidi w:val="0"/>
              <w:spacing w:before="0" w:after="283"/>
              <w:jc w:val="right"/>
              <w:rPr/>
            </w:pPr>
            <w:r>
              <w:rPr/>
              <w:t>1,626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3,503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3,836</w:t>
            </w:r>
          </w:p>
        </w:tc>
        <w:tc>
          <w:tcPr>
            <w:tcW w:w="173" w:type="dxa"/>
            <w:tcBorders/>
            <w:vAlign w:val="center"/>
          </w:tcPr>
          <w:p>
            <w:pPr>
              <w:pStyle w:val="TableContents"/>
              <w:bidi w:val="0"/>
              <w:spacing w:before="0" w:after="283"/>
              <w:jc w:val="left"/>
              <w:rPr/>
            </w:pPr>
            <w:r>
              <w:rPr/>
              <w:t> </w:t>
            </w:r>
          </w:p>
        </w:tc>
      </w:tr>
      <w:tr>
        <w:trPr/>
        <w:tc>
          <w:tcPr>
            <w:tcW w:w="4014" w:type="dxa"/>
            <w:tcBorders/>
            <w:shd w:fill="CCEEFF" w:val="clear"/>
            <w:vAlign w:val="center"/>
          </w:tcPr>
          <w:p>
            <w:pPr>
              <w:pStyle w:val="TableContents"/>
              <w:bidi w:val="0"/>
              <w:spacing w:before="0" w:after="283"/>
              <w:jc w:val="left"/>
              <w:rPr/>
            </w:pPr>
            <w:r>
              <w:rPr/>
              <w:t>Net income (loss)</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1164" w:type="dxa"/>
            <w:tcBorders/>
            <w:shd w:fill="CCEEFF" w:val="clear"/>
            <w:vAlign w:val="center"/>
          </w:tcPr>
          <w:p>
            <w:pPr>
              <w:pStyle w:val="TableContents"/>
              <w:bidi w:val="0"/>
              <w:spacing w:before="0" w:after="283"/>
              <w:jc w:val="right"/>
              <w:rPr/>
            </w:pPr>
            <w:r>
              <w:rPr/>
              <w:t>(21,668</w:t>
            </w:r>
          </w:p>
        </w:tc>
        <w:tc>
          <w:tcPr>
            <w:tcW w:w="128" w:type="dxa"/>
            <w:tcBorders/>
            <w:shd w:fill="CCEEFF" w:val="clear"/>
            <w:vAlign w:val="center"/>
          </w:tcPr>
          <w:p>
            <w:pPr>
              <w:pStyle w:val="TableContents"/>
              <w:bidi w:val="0"/>
              <w:spacing w:before="0" w:after="283"/>
              <w:jc w:val="left"/>
              <w:rPr/>
            </w:pPr>
            <w:r>
              <w:rPr/>
              <w:t>)</w:t>
            </w:r>
          </w:p>
        </w:tc>
        <w:tc>
          <w:tcPr>
            <w:tcW w:w="92"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1164" w:type="dxa"/>
            <w:tcBorders/>
            <w:shd w:fill="CCEEFF" w:val="clear"/>
            <w:vAlign w:val="center"/>
          </w:tcPr>
          <w:p>
            <w:pPr>
              <w:pStyle w:val="TableContents"/>
              <w:bidi w:val="0"/>
              <w:spacing w:before="0" w:after="283"/>
              <w:jc w:val="right"/>
              <w:rPr/>
            </w:pPr>
            <w:r>
              <w:rPr/>
              <w:t>(14,960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(39,450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(26,874</w:t>
            </w:r>
          </w:p>
        </w:tc>
        <w:tc>
          <w:tcPr>
            <w:tcW w:w="173" w:type="dxa"/>
            <w:tcBorders/>
            <w:shd w:fill="CCEEFF" w:val="clear"/>
            <w:vAlign w:val="center"/>
          </w:tcPr>
          <w:p>
            <w:pPr>
              <w:pStyle w:val="TableContents"/>
              <w:bidi w:val="0"/>
              <w:spacing w:before="0" w:after="283"/>
              <w:jc w:val="left"/>
              <w:rPr/>
            </w:pPr>
            <w:r>
              <w:rPr/>
              <w:t>)</w:t>
            </w:r>
          </w:p>
        </w:tc>
      </w:tr>
      <w:tr>
        <w:trPr/>
        <w:tc>
          <w:tcPr>
            <w:tcW w:w="4014" w:type="dxa"/>
            <w:tcBorders/>
            <w:vAlign w:val="center"/>
          </w:tcPr>
          <w:p>
            <w:pPr>
              <w:pStyle w:val="TableContents"/>
              <w:bidi w:val="0"/>
              <w:spacing w:before="0" w:after="283"/>
              <w:jc w:val="left"/>
              <w:rPr/>
            </w:pPr>
            <w:r>
              <w:rPr/>
              <w:t>Other comprehensive income (loss):</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1164" w:type="dxa"/>
            <w:tcBorders/>
            <w:vAlign w:val="center"/>
          </w:tcPr>
          <w:p>
            <w:pPr>
              <w:pStyle w:val="TableContents"/>
              <w:bidi w:val="0"/>
              <w:spacing w:before="0" w:after="283"/>
              <w:jc w:val="right"/>
              <w:rPr/>
            </w:pPr>
            <w:r>
              <w:rPr/>
              <w:t> </w:t>
            </w:r>
          </w:p>
        </w:tc>
        <w:tc>
          <w:tcPr>
            <w:tcW w:w="128"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1164"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73" w:type="dxa"/>
            <w:tcBorders/>
            <w:vAlign w:val="center"/>
          </w:tcPr>
          <w:p>
            <w:pPr>
              <w:pStyle w:val="TableContents"/>
              <w:bidi w:val="0"/>
              <w:spacing w:before="0" w:after="283"/>
              <w:jc w:val="left"/>
              <w:rPr/>
            </w:pPr>
            <w:r>
              <w:rPr/>
              <w:t> </w:t>
            </w:r>
          </w:p>
        </w:tc>
      </w:tr>
      <w:tr>
        <w:trPr/>
        <w:tc>
          <w:tcPr>
            <w:tcW w:w="4014" w:type="dxa"/>
            <w:tcBorders/>
            <w:shd w:fill="CCEEFF" w:val="clear"/>
            <w:vAlign w:val="center"/>
          </w:tcPr>
          <w:p>
            <w:pPr>
              <w:pStyle w:val="TableContents"/>
              <w:bidi w:val="0"/>
              <w:spacing w:before="0" w:after="283"/>
              <w:jc w:val="left"/>
              <w:rPr/>
            </w:pPr>
            <w:r>
              <w:rPr/>
              <w:t>Net unrealized gain (loss) on marketable debt securities</w:t>
            </w:r>
          </w:p>
        </w:tc>
        <w:tc>
          <w:tcPr>
            <w:tcW w:w="90" w:type="dxa"/>
            <w:tcBorders/>
            <w:shd w:fill="CCEEFF" w:val="clear"/>
            <w:vAlign w:val="center"/>
          </w:tcPr>
          <w:p>
            <w:pPr>
              <w:pStyle w:val="TableContents"/>
              <w:bidi w:val="0"/>
              <w:spacing w:before="0" w:after="283"/>
              <w:jc w:val="left"/>
              <w:rPr/>
            </w:pPr>
            <w:r>
              <w:rPr/>
              <w:t> </w:t>
            </w:r>
          </w:p>
        </w:tc>
        <w:tc>
          <w:tcPr>
            <w:tcW w:w="17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4" w:type="dxa"/>
            <w:tcBorders>
              <w:bottom w:val="single" w:sz="12" w:space="0" w:color="000000"/>
            </w:tcBorders>
            <w:shd w:fill="CCEEFF" w:val="clear"/>
            <w:tcMar>
              <w:bottom w:w="28" w:type="dxa"/>
            </w:tcMar>
            <w:vAlign w:val="center"/>
          </w:tcPr>
          <w:p>
            <w:pPr>
              <w:pStyle w:val="TableContents"/>
              <w:bidi w:val="0"/>
              <w:spacing w:before="0" w:after="283"/>
              <w:jc w:val="right"/>
              <w:rPr/>
            </w:pPr>
            <w:r>
              <w:rPr/>
              <w:t>1</w:t>
            </w:r>
          </w:p>
        </w:tc>
        <w:tc>
          <w:tcPr>
            <w:tcW w:w="128"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7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4" w:type="dxa"/>
            <w:tcBorders>
              <w:bottom w:val="single" w:sz="12" w:space="0" w:color="000000"/>
            </w:tcBorders>
            <w:shd w:fill="CCEEFF" w:val="clear"/>
            <w:tcMar>
              <w:bottom w:w="28" w:type="dxa"/>
            </w:tcMar>
            <w:vAlign w:val="center"/>
          </w:tcPr>
          <w:p>
            <w:pPr>
              <w:pStyle w:val="TableContents"/>
              <w:bidi w:val="0"/>
              <w:spacing w:before="0" w:after="283"/>
              <w:jc w:val="right"/>
              <w:rPr/>
            </w:pPr>
            <w:r>
              <w:rPr/>
              <w:t>(12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(453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75</w:t>
            </w:r>
          </w:p>
        </w:tc>
        <w:tc>
          <w:tcPr>
            <w:tcW w:w="173" w:type="dxa"/>
            <w:tcBorders/>
            <w:shd w:fill="CCEEFF" w:val="clear"/>
            <w:vAlign w:val="center"/>
          </w:tcPr>
          <w:p>
            <w:pPr>
              <w:pStyle w:val="TableContents"/>
              <w:bidi w:val="0"/>
              <w:spacing w:before="0" w:after="283"/>
              <w:jc w:val="left"/>
              <w:rPr/>
            </w:pPr>
            <w:r>
              <w:rPr/>
              <w:t> </w:t>
            </w:r>
          </w:p>
        </w:tc>
      </w:tr>
      <w:tr>
        <w:trPr/>
        <w:tc>
          <w:tcPr>
            <w:tcW w:w="4014" w:type="dxa"/>
            <w:tcBorders/>
            <w:vAlign w:val="center"/>
          </w:tcPr>
          <w:p>
            <w:pPr>
              <w:pStyle w:val="TableContents"/>
              <w:bidi w:val="0"/>
              <w:spacing w:before="0" w:after="283"/>
              <w:jc w:val="left"/>
              <w:rPr/>
            </w:pPr>
            <w:r>
              <w:rPr/>
              <w:t>Other comprehensive income (loss)</w:t>
            </w:r>
          </w:p>
        </w:tc>
        <w:tc>
          <w:tcPr>
            <w:tcW w:w="90" w:type="dxa"/>
            <w:tcBorders/>
            <w:vAlign w:val="center"/>
          </w:tcPr>
          <w:p>
            <w:pPr>
              <w:pStyle w:val="TableContents"/>
              <w:bidi w:val="0"/>
              <w:spacing w:before="0" w:after="283"/>
              <w:jc w:val="left"/>
              <w:rPr/>
            </w:pPr>
            <w:r>
              <w:rPr/>
              <w:t> </w:t>
            </w:r>
          </w:p>
        </w:tc>
        <w:tc>
          <w:tcPr>
            <w:tcW w:w="175" w:type="dxa"/>
            <w:tcBorders>
              <w:bottom w:val="single" w:sz="12" w:space="0" w:color="000000"/>
            </w:tcBorders>
            <w:tcMar>
              <w:bottom w:w="28" w:type="dxa"/>
            </w:tcMar>
            <w:vAlign w:val="center"/>
          </w:tcPr>
          <w:p>
            <w:pPr>
              <w:pStyle w:val="TableContents"/>
              <w:bidi w:val="0"/>
              <w:spacing w:before="0" w:after="283"/>
              <w:jc w:val="left"/>
              <w:rPr/>
            </w:pPr>
            <w:r>
              <w:rPr/>
              <w:t> </w:t>
            </w:r>
          </w:p>
        </w:tc>
        <w:tc>
          <w:tcPr>
            <w:tcW w:w="1164" w:type="dxa"/>
            <w:tcBorders>
              <w:bottom w:val="single" w:sz="12" w:space="0" w:color="000000"/>
            </w:tcBorders>
            <w:tcMar>
              <w:bottom w:w="28" w:type="dxa"/>
            </w:tcMar>
            <w:vAlign w:val="center"/>
          </w:tcPr>
          <w:p>
            <w:pPr>
              <w:pStyle w:val="TableContents"/>
              <w:bidi w:val="0"/>
              <w:spacing w:before="0" w:after="283"/>
              <w:jc w:val="right"/>
              <w:rPr/>
            </w:pPr>
            <w:r>
              <w:rPr/>
              <w:t>1</w:t>
            </w:r>
          </w:p>
        </w:tc>
        <w:tc>
          <w:tcPr>
            <w:tcW w:w="128"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75" w:type="dxa"/>
            <w:tcBorders>
              <w:bottom w:val="single" w:sz="12" w:space="0" w:color="000000"/>
            </w:tcBorders>
            <w:tcMar>
              <w:bottom w:w="28" w:type="dxa"/>
            </w:tcMar>
            <w:vAlign w:val="center"/>
          </w:tcPr>
          <w:p>
            <w:pPr>
              <w:pStyle w:val="TableContents"/>
              <w:bidi w:val="0"/>
              <w:spacing w:before="0" w:after="283"/>
              <w:jc w:val="left"/>
              <w:rPr/>
            </w:pPr>
            <w:r>
              <w:rPr/>
              <w:t> </w:t>
            </w:r>
          </w:p>
        </w:tc>
        <w:tc>
          <w:tcPr>
            <w:tcW w:w="1164" w:type="dxa"/>
            <w:tcBorders>
              <w:bottom w:val="single" w:sz="12" w:space="0" w:color="000000"/>
            </w:tcBorders>
            <w:tcMar>
              <w:bottom w:w="28" w:type="dxa"/>
            </w:tcMar>
            <w:vAlign w:val="center"/>
          </w:tcPr>
          <w:p>
            <w:pPr>
              <w:pStyle w:val="TableContents"/>
              <w:bidi w:val="0"/>
              <w:spacing w:before="0" w:after="283"/>
              <w:jc w:val="right"/>
              <w:rPr/>
            </w:pPr>
            <w:r>
              <w:rPr/>
              <w:t>(12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(453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75</w:t>
            </w:r>
          </w:p>
        </w:tc>
        <w:tc>
          <w:tcPr>
            <w:tcW w:w="173" w:type="dxa"/>
            <w:tcBorders/>
            <w:vAlign w:val="center"/>
          </w:tcPr>
          <w:p>
            <w:pPr>
              <w:pStyle w:val="TableContents"/>
              <w:bidi w:val="0"/>
              <w:spacing w:before="0" w:after="283"/>
              <w:jc w:val="left"/>
              <w:rPr/>
            </w:pPr>
            <w:r>
              <w:rPr/>
              <w:t> </w:t>
            </w:r>
          </w:p>
        </w:tc>
      </w:tr>
      <w:tr>
        <w:trPr/>
        <w:tc>
          <w:tcPr>
            <w:tcW w:w="4014" w:type="dxa"/>
            <w:tcBorders/>
            <w:shd w:fill="CCEEFF" w:val="clear"/>
            <w:vAlign w:val="center"/>
          </w:tcPr>
          <w:p>
            <w:pPr>
              <w:pStyle w:val="TableContents"/>
              <w:bidi w:val="0"/>
              <w:spacing w:before="0" w:after="283"/>
              <w:jc w:val="left"/>
              <w:rPr/>
            </w:pPr>
            <w:r>
              <w:rPr/>
              <w:t>Comprehensive income (loss)</w:t>
            </w:r>
          </w:p>
        </w:tc>
        <w:tc>
          <w:tcPr>
            <w:tcW w:w="90" w:type="dxa"/>
            <w:tcBorders/>
            <w:shd w:fill="CCEEFF" w:val="clear"/>
            <w:vAlign w:val="center"/>
          </w:tcPr>
          <w:p>
            <w:pPr>
              <w:pStyle w:val="TableContents"/>
              <w:bidi w:val="0"/>
              <w:spacing w:before="0" w:after="283"/>
              <w:jc w:val="left"/>
              <w:rPr/>
            </w:pPr>
            <w:r>
              <w:rPr/>
              <w:t> </w:t>
            </w:r>
          </w:p>
        </w:tc>
        <w:tc>
          <w:tcPr>
            <w:tcW w:w="17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64" w:type="dxa"/>
            <w:tcBorders>
              <w:bottom w:val="double" w:sz="10" w:space="0" w:color="000000"/>
            </w:tcBorders>
            <w:shd w:fill="CCEEFF" w:val="clear"/>
            <w:tcMar>
              <w:bottom w:w="28" w:type="dxa"/>
            </w:tcMar>
            <w:vAlign w:val="center"/>
          </w:tcPr>
          <w:p>
            <w:pPr>
              <w:pStyle w:val="TableContents"/>
              <w:bidi w:val="0"/>
              <w:spacing w:before="0" w:after="283"/>
              <w:jc w:val="right"/>
              <w:rPr/>
            </w:pPr>
            <w:r>
              <w:rPr/>
              <w:t>(21,667</w:t>
            </w:r>
          </w:p>
        </w:tc>
        <w:tc>
          <w:tcPr>
            <w:tcW w:w="128" w:type="dxa"/>
            <w:tcBorders/>
            <w:shd w:fill="CCEEFF" w:val="clear"/>
            <w:vAlign w:val="center"/>
          </w:tcPr>
          <w:p>
            <w:pPr>
              <w:pStyle w:val="TableContents"/>
              <w:bidi w:val="0"/>
              <w:spacing w:before="0" w:after="283"/>
              <w:jc w:val="left"/>
              <w:rPr/>
            </w:pPr>
            <w:r>
              <w:rPr/>
              <w:t>)</w:t>
            </w:r>
          </w:p>
        </w:tc>
        <w:tc>
          <w:tcPr>
            <w:tcW w:w="92" w:type="dxa"/>
            <w:tcBorders/>
            <w:shd w:fill="CCEEFF" w:val="clear"/>
            <w:vAlign w:val="center"/>
          </w:tcPr>
          <w:p>
            <w:pPr>
              <w:pStyle w:val="TableContents"/>
              <w:bidi w:val="0"/>
              <w:spacing w:before="0" w:after="283"/>
              <w:jc w:val="left"/>
              <w:rPr/>
            </w:pPr>
            <w:r>
              <w:rPr/>
              <w:t> </w:t>
            </w:r>
          </w:p>
        </w:tc>
        <w:tc>
          <w:tcPr>
            <w:tcW w:w="17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64" w:type="dxa"/>
            <w:tcBorders>
              <w:bottom w:val="double" w:sz="10" w:space="0" w:color="000000"/>
            </w:tcBorders>
            <w:shd w:fill="CCEEFF" w:val="clear"/>
            <w:tcMar>
              <w:bottom w:w="28" w:type="dxa"/>
            </w:tcMar>
            <w:vAlign w:val="center"/>
          </w:tcPr>
          <w:p>
            <w:pPr>
              <w:pStyle w:val="TableContents"/>
              <w:bidi w:val="0"/>
              <w:spacing w:before="0" w:after="283"/>
              <w:jc w:val="right"/>
              <w:rPr/>
            </w:pPr>
            <w:r>
              <w:rPr/>
              <w:t>(14,972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pPr>
            <w:r>
              <w:rPr/>
              <w:t>(39,903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pPr>
            <w:r>
              <w:rPr/>
              <w:t>(26,799</w:t>
            </w:r>
          </w:p>
        </w:tc>
        <w:tc>
          <w:tcPr>
            <w:tcW w:w="173" w:type="dxa"/>
            <w:tcBorders/>
            <w:shd w:fill="CCEEFF" w:val="clear"/>
            <w:vAlign w:val="center"/>
          </w:tcPr>
          <w:p>
            <w:pPr>
              <w:pStyle w:val="TableContents"/>
              <w:bidi w:val="0"/>
              <w:spacing w:before="0" w:after="283"/>
              <w:jc w:val="left"/>
              <w:rPr/>
            </w:pPr>
            <w:r>
              <w:rPr/>
              <w:t>)</w:t>
            </w:r>
          </w:p>
        </w:tc>
      </w:tr>
      <w:tr>
        <w:trPr/>
        <w:tc>
          <w:tcPr>
            <w:tcW w:w="401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1164" w:type="dxa"/>
            <w:tcBorders/>
            <w:vAlign w:val="center"/>
          </w:tcPr>
          <w:p>
            <w:pPr>
              <w:pStyle w:val="TableContents"/>
              <w:bidi w:val="0"/>
              <w:spacing w:before="0" w:after="283"/>
              <w:jc w:val="right"/>
              <w:rPr/>
            </w:pPr>
            <w:r>
              <w:rPr/>
              <w:t> </w:t>
            </w:r>
          </w:p>
        </w:tc>
        <w:tc>
          <w:tcPr>
            <w:tcW w:w="128"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1164"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73" w:type="dxa"/>
            <w:tcBorders/>
            <w:vAlign w:val="center"/>
          </w:tcPr>
          <w:p>
            <w:pPr>
              <w:pStyle w:val="TableContents"/>
              <w:bidi w:val="0"/>
              <w:spacing w:before="0" w:after="283"/>
              <w:ind w:left="0" w:right="0" w:hanging="180"/>
              <w:jc w:val="left"/>
              <w:rPr/>
            </w:pPr>
            <w:r>
              <w:rPr/>
              <w:t> </w:t>
            </w:r>
          </w:p>
        </w:tc>
      </w:tr>
      <w:tr>
        <w:trPr/>
        <w:tc>
          <w:tcPr>
            <w:tcW w:w="4014" w:type="dxa"/>
            <w:tcBorders/>
            <w:shd w:fill="CCEEFF" w:val="clear"/>
            <w:vAlign w:val="center"/>
          </w:tcPr>
          <w:p>
            <w:pPr>
              <w:pStyle w:val="TableContents"/>
              <w:bidi w:val="0"/>
              <w:spacing w:before="0" w:after="283"/>
              <w:jc w:val="left"/>
              <w:rPr/>
            </w:pPr>
            <w:r>
              <w:rPr/>
              <w:t>Net income (loss) per share attributable to common stockholders, basic and diluted</w:t>
            </w:r>
          </w:p>
        </w:tc>
        <w:tc>
          <w:tcPr>
            <w:tcW w:w="90" w:type="dxa"/>
            <w:tcBorders/>
            <w:shd w:fill="CCEEFF" w:val="clear"/>
            <w:vAlign w:val="center"/>
          </w:tcPr>
          <w:p>
            <w:pPr>
              <w:pStyle w:val="TableContents"/>
              <w:bidi w:val="0"/>
              <w:spacing w:before="0" w:after="283"/>
              <w:jc w:val="left"/>
              <w:rPr/>
            </w:pPr>
            <w:r>
              <w:rPr/>
              <w:t> </w:t>
            </w:r>
          </w:p>
        </w:tc>
        <w:tc>
          <w:tcPr>
            <w:tcW w:w="17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64" w:type="dxa"/>
            <w:tcBorders>
              <w:bottom w:val="double" w:sz="10" w:space="0" w:color="000000"/>
            </w:tcBorders>
            <w:shd w:fill="CCEEFF" w:val="clear"/>
            <w:tcMar>
              <w:bottom w:w="28" w:type="dxa"/>
            </w:tcMar>
            <w:vAlign w:val="center"/>
          </w:tcPr>
          <w:p>
            <w:pPr>
              <w:pStyle w:val="TableContents"/>
              <w:bidi w:val="0"/>
              <w:spacing w:before="0" w:after="283"/>
              <w:jc w:val="right"/>
              <w:rPr/>
            </w:pPr>
            <w:r>
              <w:rPr/>
              <w:t>(0.36</w:t>
            </w:r>
          </w:p>
        </w:tc>
        <w:tc>
          <w:tcPr>
            <w:tcW w:w="128" w:type="dxa"/>
            <w:tcBorders/>
            <w:shd w:fill="CCEEFF" w:val="clear"/>
            <w:vAlign w:val="center"/>
          </w:tcPr>
          <w:p>
            <w:pPr>
              <w:pStyle w:val="TableContents"/>
              <w:bidi w:val="0"/>
              <w:spacing w:before="0" w:after="283"/>
              <w:jc w:val="left"/>
              <w:rPr/>
            </w:pPr>
            <w:r>
              <w:rPr/>
              <w:t>)</w:t>
            </w:r>
          </w:p>
        </w:tc>
        <w:tc>
          <w:tcPr>
            <w:tcW w:w="92" w:type="dxa"/>
            <w:tcBorders/>
            <w:shd w:fill="CCEEFF" w:val="clear"/>
            <w:vAlign w:val="center"/>
          </w:tcPr>
          <w:p>
            <w:pPr>
              <w:pStyle w:val="TableContents"/>
              <w:bidi w:val="0"/>
              <w:spacing w:before="0" w:after="283"/>
              <w:jc w:val="left"/>
              <w:rPr/>
            </w:pPr>
            <w:r>
              <w:rPr/>
              <w:t> </w:t>
            </w:r>
          </w:p>
        </w:tc>
        <w:tc>
          <w:tcPr>
            <w:tcW w:w="17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64" w:type="dxa"/>
            <w:tcBorders>
              <w:bottom w:val="double" w:sz="10" w:space="0" w:color="000000"/>
            </w:tcBorders>
            <w:shd w:fill="CCEEFF" w:val="clear"/>
            <w:tcMar>
              <w:bottom w:w="28" w:type="dxa"/>
            </w:tcMar>
            <w:vAlign w:val="center"/>
          </w:tcPr>
          <w:p>
            <w:pPr>
              <w:pStyle w:val="TableContents"/>
              <w:bidi w:val="0"/>
              <w:spacing w:before="0" w:after="283"/>
              <w:jc w:val="right"/>
              <w:rPr/>
            </w:pPr>
            <w:r>
              <w:rPr/>
              <w:t>(0.35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pPr>
            <w:r>
              <w:rPr/>
              <w:t>(0.67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pPr>
            <w:r>
              <w:rPr/>
              <w:t>(0.65</w:t>
            </w:r>
          </w:p>
        </w:tc>
        <w:tc>
          <w:tcPr>
            <w:tcW w:w="173" w:type="dxa"/>
            <w:tcBorders/>
            <w:shd w:fill="CCEEFF" w:val="clear"/>
            <w:vAlign w:val="center"/>
          </w:tcPr>
          <w:p>
            <w:pPr>
              <w:pStyle w:val="TableContents"/>
              <w:bidi w:val="0"/>
              <w:spacing w:before="0" w:after="283"/>
              <w:jc w:val="left"/>
              <w:rPr/>
            </w:pPr>
            <w:r>
              <w:rPr/>
              <w:t>)</w:t>
            </w:r>
          </w:p>
        </w:tc>
      </w:tr>
      <w:tr>
        <w:trPr/>
        <w:tc>
          <w:tcPr>
            <w:tcW w:w="4014" w:type="dxa"/>
            <w:tcBorders/>
            <w:vAlign w:val="center"/>
          </w:tcPr>
          <w:p>
            <w:pPr>
              <w:pStyle w:val="TableContents"/>
              <w:bidi w:val="0"/>
              <w:spacing w:before="0" w:after="283"/>
              <w:jc w:val="left"/>
              <w:rPr/>
            </w:pPr>
            <w:r>
              <w:rPr/>
              <w:t>Weighted-average shares outstanding, basic and diluted</w:t>
            </w:r>
          </w:p>
        </w:tc>
        <w:tc>
          <w:tcPr>
            <w:tcW w:w="90" w:type="dxa"/>
            <w:tcBorders/>
            <w:vAlign w:val="center"/>
          </w:tcPr>
          <w:p>
            <w:pPr>
              <w:pStyle w:val="TableContents"/>
              <w:bidi w:val="0"/>
              <w:spacing w:before="0" w:after="283"/>
              <w:jc w:val="left"/>
              <w:rPr/>
            </w:pPr>
            <w:r>
              <w:rPr/>
              <w:t> </w:t>
            </w:r>
          </w:p>
        </w:tc>
        <w:tc>
          <w:tcPr>
            <w:tcW w:w="175" w:type="dxa"/>
            <w:tcBorders>
              <w:bottom w:val="double" w:sz="10" w:space="0" w:color="000000"/>
            </w:tcBorders>
            <w:tcMar>
              <w:bottom w:w="28" w:type="dxa"/>
            </w:tcMar>
            <w:vAlign w:val="center"/>
          </w:tcPr>
          <w:p>
            <w:pPr>
              <w:pStyle w:val="TableContents"/>
              <w:bidi w:val="0"/>
              <w:spacing w:before="0" w:after="283"/>
              <w:jc w:val="left"/>
              <w:rPr/>
            </w:pPr>
            <w:r>
              <w:rPr/>
              <w:t> </w:t>
            </w:r>
          </w:p>
        </w:tc>
        <w:tc>
          <w:tcPr>
            <w:tcW w:w="1164" w:type="dxa"/>
            <w:tcBorders>
              <w:bottom w:val="double" w:sz="10" w:space="0" w:color="000000"/>
            </w:tcBorders>
            <w:tcMar>
              <w:bottom w:w="28" w:type="dxa"/>
            </w:tcMar>
            <w:vAlign w:val="center"/>
          </w:tcPr>
          <w:p>
            <w:pPr>
              <w:pStyle w:val="TableContents"/>
              <w:bidi w:val="0"/>
              <w:spacing w:before="0" w:after="283"/>
              <w:jc w:val="right"/>
              <w:rPr/>
            </w:pPr>
            <w:r>
              <w:rPr/>
              <w:t>61,006,766</w:t>
            </w:r>
          </w:p>
        </w:tc>
        <w:tc>
          <w:tcPr>
            <w:tcW w:w="128"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75" w:type="dxa"/>
            <w:tcBorders>
              <w:bottom w:val="double" w:sz="10" w:space="0" w:color="000000"/>
            </w:tcBorders>
            <w:tcMar>
              <w:bottom w:w="28" w:type="dxa"/>
            </w:tcMar>
            <w:vAlign w:val="center"/>
          </w:tcPr>
          <w:p>
            <w:pPr>
              <w:pStyle w:val="TableContents"/>
              <w:bidi w:val="0"/>
              <w:spacing w:before="0" w:after="283"/>
              <w:jc w:val="left"/>
              <w:rPr/>
            </w:pPr>
            <w:r>
              <w:rPr/>
              <w:t> </w:t>
            </w:r>
          </w:p>
        </w:tc>
        <w:tc>
          <w:tcPr>
            <w:tcW w:w="1164" w:type="dxa"/>
            <w:tcBorders>
              <w:bottom w:val="double" w:sz="10" w:space="0" w:color="000000"/>
            </w:tcBorders>
            <w:tcMar>
              <w:bottom w:w="28" w:type="dxa"/>
            </w:tcMar>
            <w:vAlign w:val="center"/>
          </w:tcPr>
          <w:p>
            <w:pPr>
              <w:pStyle w:val="TableContents"/>
              <w:bidi w:val="0"/>
              <w:spacing w:before="0" w:after="283"/>
              <w:jc w:val="right"/>
              <w:rPr/>
            </w:pPr>
            <w:r>
              <w:rPr/>
              <w:t>42,270,855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 </w:t>
            </w:r>
          </w:p>
        </w:tc>
        <w:tc>
          <w:tcPr>
            <w:tcW w:w="1130" w:type="dxa"/>
            <w:tcBorders>
              <w:bottom w:val="double" w:sz="10" w:space="0" w:color="000000"/>
            </w:tcBorders>
            <w:tcMar>
              <w:bottom w:w="28" w:type="dxa"/>
            </w:tcMar>
            <w:vAlign w:val="center"/>
          </w:tcPr>
          <w:p>
            <w:pPr>
              <w:pStyle w:val="TableContents"/>
              <w:bidi w:val="0"/>
              <w:spacing w:before="0" w:after="283"/>
              <w:jc w:val="right"/>
              <w:rPr/>
            </w:pPr>
            <w:r>
              <w:rPr/>
              <w:t>59,282,380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 </w:t>
            </w:r>
          </w:p>
        </w:tc>
        <w:tc>
          <w:tcPr>
            <w:tcW w:w="1130" w:type="dxa"/>
            <w:tcBorders>
              <w:bottom w:val="double" w:sz="10" w:space="0" w:color="000000"/>
            </w:tcBorders>
            <w:tcMar>
              <w:bottom w:w="28" w:type="dxa"/>
            </w:tcMar>
            <w:vAlign w:val="center"/>
          </w:tcPr>
          <w:p>
            <w:pPr>
              <w:pStyle w:val="TableContents"/>
              <w:bidi w:val="0"/>
              <w:spacing w:before="0" w:after="283"/>
              <w:jc w:val="right"/>
              <w:rPr/>
            </w:pPr>
            <w:r>
              <w:rPr/>
              <w:t>41,493,714</w:t>
            </w:r>
          </w:p>
        </w:tc>
        <w:tc>
          <w:tcPr>
            <w:tcW w:w="173"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PROTARA THERAPEUTICS, INC. AND SUBSIDIARIES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a_005"/>
      <w:bookmarkEnd w:id="6"/>
      <w:r>
        <w:rPr>
          <w:rFonts w:ascii="Times New Roman;Times;Serif" w:hAnsi="Times New Roman;Times;Serif"/>
          <w:b/>
          <w:i w:val="false"/>
          <w:caps w:val="false"/>
          <w:smallCaps w:val="false"/>
          <w:sz w:val="20"/>
        </w:rPr>
        <w:t>Condensed Consolidated Statements of Changes in Stockholders’ Equity (Unaudited)</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39"/>
        <w:gridCol w:w="90"/>
        <w:gridCol w:w="90"/>
        <w:gridCol w:w="515"/>
        <w:gridCol w:w="110"/>
        <w:gridCol w:w="90"/>
        <w:gridCol w:w="198"/>
        <w:gridCol w:w="497"/>
        <w:gridCol w:w="90"/>
        <w:gridCol w:w="90"/>
        <w:gridCol w:w="90"/>
        <w:gridCol w:w="860"/>
        <w:gridCol w:w="90"/>
        <w:gridCol w:w="90"/>
        <w:gridCol w:w="262"/>
        <w:gridCol w:w="433"/>
        <w:gridCol w:w="90"/>
        <w:gridCol w:w="90"/>
        <w:gridCol w:w="158"/>
        <w:gridCol w:w="718"/>
        <w:gridCol w:w="110"/>
        <w:gridCol w:w="90"/>
        <w:gridCol w:w="179"/>
        <w:gridCol w:w="891"/>
        <w:gridCol w:w="110"/>
        <w:gridCol w:w="90"/>
        <w:gridCol w:w="140"/>
        <w:gridCol w:w="1190"/>
        <w:gridCol w:w="110"/>
        <w:gridCol w:w="90"/>
        <w:gridCol w:w="190"/>
        <w:gridCol w:w="867"/>
        <w:gridCol w:w="158"/>
      </w:tblGrid>
      <w:tr>
        <w:trPr/>
        <w:tc>
          <w:tcPr>
            <w:tcW w:w="1339"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0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Series 1</w:t>
              <w:br/>
              <w:t>Convertible</w:t>
              <w:br/>
              <w:t>Preferred Stock</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825"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Common Stock</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76"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 xml:space="preserve">Additional </w:t>
              <w:br/>
              <w:t>Paid-in</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07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Accumulated</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33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 xml:space="preserve">Accumulated </w:t>
              <w:br/>
              <w:t>Other</w:t>
              <w:br/>
              <w:t>Comprehensive</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057"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 xml:space="preserve">Total </w:t>
              <w:br/>
              <w:t>Stockholders’</w:t>
            </w:r>
          </w:p>
        </w:tc>
        <w:tc>
          <w:tcPr>
            <w:tcW w:w="15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39"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60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Shares</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Amount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5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Shares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Amount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76"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Capital</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0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Deficit</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33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Income (Loss)</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057"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Equity</w:t>
            </w:r>
          </w:p>
        </w:tc>
        <w:tc>
          <w:tcPr>
            <w:tcW w:w="158"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33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Balance at December 31, 2024</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7,991</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497" w:type="dxa"/>
            <w:tcBorders/>
            <w:shd w:fill="CCEEFF" w:val="cle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18"/>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35,044,772</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43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35</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71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412,077</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89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(244,980</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1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8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167,134</w:t>
            </w:r>
          </w:p>
        </w:tc>
        <w:tc>
          <w:tcPr>
            <w:tcW w:w="158"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339"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515" w:type="dxa"/>
            <w:tcBorders/>
            <w:vAlign w:val="center"/>
          </w:tcPr>
          <w:p>
            <w:pPr>
              <w:pStyle w:val="TableContents"/>
              <w:bidi w:val="0"/>
              <w:spacing w:before="0" w:after="283"/>
              <w:jc w:val="righ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98" w:type="dxa"/>
            <w:tcBorders/>
            <w:vAlign w:val="center"/>
          </w:tcPr>
          <w:p>
            <w:pPr>
              <w:pStyle w:val="TableContents"/>
              <w:bidi w:val="0"/>
              <w:spacing w:before="0" w:after="283"/>
              <w:jc w:val="left"/>
              <w:rPr>
                <w:caps w:val="false"/>
                <w:smallCaps w:val="false"/>
              </w:rPr>
            </w:pPr>
            <w:r>
              <w:rPr>
                <w:caps w:val="false"/>
                <w:smallCaps w:val="false"/>
              </w:rPr>
              <w:t> </w:t>
            </w:r>
          </w:p>
        </w:tc>
        <w:tc>
          <w:tcPr>
            <w:tcW w:w="497" w:type="dxa"/>
            <w:tcBorders/>
            <w:vAlign w:val="center"/>
          </w:tcPr>
          <w:p>
            <w:pPr>
              <w:pStyle w:val="TableContents"/>
              <w:bidi w:val="0"/>
              <w:spacing w:before="0" w:after="283"/>
              <w:jc w:val="righ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60" w:type="dxa"/>
            <w:tcBorders/>
            <w:vAlign w:val="center"/>
          </w:tcPr>
          <w:p>
            <w:pPr>
              <w:pStyle w:val="TableContents"/>
              <w:bidi w:val="0"/>
              <w:spacing w:before="0" w:after="283"/>
              <w:jc w:val="righ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62" w:type="dxa"/>
            <w:tcBorders/>
            <w:vAlign w:val="center"/>
          </w:tcPr>
          <w:p>
            <w:pPr>
              <w:pStyle w:val="TableContents"/>
              <w:bidi w:val="0"/>
              <w:spacing w:before="0" w:after="283"/>
              <w:jc w:val="left"/>
              <w:rPr>
                <w:caps w:val="false"/>
                <w:smallCaps w:val="false"/>
              </w:rPr>
            </w:pPr>
            <w:r>
              <w:rPr>
                <w:caps w:val="false"/>
                <w:smallCaps w:val="false"/>
              </w:rPr>
              <w:t> </w:t>
            </w:r>
          </w:p>
        </w:tc>
        <w:tc>
          <w:tcPr>
            <w:tcW w:w="433" w:type="dxa"/>
            <w:tcBorders/>
            <w:vAlign w:val="center"/>
          </w:tcPr>
          <w:p>
            <w:pPr>
              <w:pStyle w:val="TableContents"/>
              <w:bidi w:val="0"/>
              <w:spacing w:before="0" w:after="283"/>
              <w:jc w:val="righ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8" w:type="dxa"/>
            <w:tcBorders/>
            <w:vAlign w:val="center"/>
          </w:tcPr>
          <w:p>
            <w:pPr>
              <w:pStyle w:val="TableContents"/>
              <w:bidi w:val="0"/>
              <w:spacing w:before="0" w:after="283"/>
              <w:jc w:val="left"/>
              <w:rPr>
                <w:caps w:val="false"/>
                <w:smallCaps w:val="false"/>
              </w:rPr>
            </w:pPr>
            <w:r>
              <w:rPr>
                <w:caps w:val="false"/>
                <w:smallCaps w:val="false"/>
              </w:rPr>
              <w:t> </w:t>
            </w:r>
          </w:p>
        </w:tc>
        <w:tc>
          <w:tcPr>
            <w:tcW w:w="718" w:type="dxa"/>
            <w:tcBorders/>
            <w:vAlign w:val="center"/>
          </w:tcPr>
          <w:p>
            <w:pPr>
              <w:pStyle w:val="TableContents"/>
              <w:bidi w:val="0"/>
              <w:spacing w:before="0" w:after="283"/>
              <w:jc w:val="righ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79" w:type="dxa"/>
            <w:tcBorders/>
            <w:vAlign w:val="center"/>
          </w:tcPr>
          <w:p>
            <w:pPr>
              <w:pStyle w:val="TableContents"/>
              <w:bidi w:val="0"/>
              <w:spacing w:before="0" w:after="283"/>
              <w:jc w:val="left"/>
              <w:rPr>
                <w:caps w:val="false"/>
                <w:smallCaps w:val="false"/>
              </w:rPr>
            </w:pPr>
            <w:r>
              <w:rPr>
                <w:caps w:val="false"/>
                <w:smallCaps w:val="false"/>
              </w:rPr>
              <w:t> </w:t>
            </w:r>
          </w:p>
        </w:tc>
        <w:tc>
          <w:tcPr>
            <w:tcW w:w="891" w:type="dxa"/>
            <w:tcBorders/>
            <w:vAlign w:val="center"/>
          </w:tcPr>
          <w:p>
            <w:pPr>
              <w:pStyle w:val="TableContents"/>
              <w:bidi w:val="0"/>
              <w:spacing w:before="0" w:after="283"/>
              <w:jc w:val="righ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1190" w:type="dxa"/>
            <w:tcBorders/>
            <w:vAlign w:val="center"/>
          </w:tcPr>
          <w:p>
            <w:pPr>
              <w:pStyle w:val="TableContents"/>
              <w:bidi w:val="0"/>
              <w:spacing w:before="0" w:after="283"/>
              <w:jc w:val="righ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90" w:type="dxa"/>
            <w:tcBorders/>
            <w:vAlign w:val="center"/>
          </w:tcPr>
          <w:p>
            <w:pPr>
              <w:pStyle w:val="TableContents"/>
              <w:bidi w:val="0"/>
              <w:spacing w:before="0" w:after="283"/>
              <w:jc w:val="left"/>
              <w:rPr>
                <w:caps w:val="false"/>
                <w:smallCaps w:val="false"/>
              </w:rPr>
            </w:pPr>
            <w:r>
              <w:rPr>
                <w:caps w:val="false"/>
                <w:smallCaps w:val="false"/>
              </w:rPr>
              <w:t> </w:t>
            </w:r>
          </w:p>
        </w:tc>
        <w:tc>
          <w:tcPr>
            <w:tcW w:w="867" w:type="dxa"/>
            <w:tcBorders/>
            <w:vAlign w:val="center"/>
          </w:tcPr>
          <w:p>
            <w:pPr>
              <w:pStyle w:val="TableContents"/>
              <w:bidi w:val="0"/>
              <w:spacing w:before="0" w:after="283"/>
              <w:jc w:val="right"/>
              <w:rPr>
                <w:caps w:val="false"/>
                <w:smallCaps w:val="false"/>
              </w:rPr>
            </w:pPr>
            <w:r>
              <w:rPr>
                <w:caps w:val="false"/>
                <w:smallCaps w:val="false"/>
              </w:rPr>
              <w:t> </w:t>
            </w:r>
          </w:p>
        </w:tc>
        <w:tc>
          <w:tcPr>
            <w:tcW w:w="158"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3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Issuance of common stock upon conversion of Series 1 Preferred Stock</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(2,376</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2,376,244</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58"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3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Issuance of common stock upon exercise of pre-funded warrants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51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98" w:type="dxa"/>
            <w:tcBorders/>
            <w:vAlign w:val="center"/>
          </w:tcPr>
          <w:p>
            <w:pPr>
              <w:pStyle w:val="TableContents"/>
              <w:bidi w:val="0"/>
              <w:spacing w:before="0" w:after="283"/>
              <w:jc w:val="left"/>
              <w:rPr>
                <w:caps w:val="false"/>
                <w:smallCaps w:val="false"/>
              </w:rPr>
            </w:pPr>
            <w:r>
              <w:rPr>
                <w:caps w:val="false"/>
                <w:smallCaps w:val="false"/>
              </w:rPr>
              <w:t> </w:t>
            </w:r>
          </w:p>
        </w:tc>
        <w:tc>
          <w:tcPr>
            <w:tcW w:w="497"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6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625,100</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62" w:type="dxa"/>
            <w:tcBorders/>
            <w:vAlign w:val="center"/>
          </w:tcPr>
          <w:p>
            <w:pPr>
              <w:pStyle w:val="TableContents"/>
              <w:bidi w:val="0"/>
              <w:spacing w:before="0" w:after="283"/>
              <w:jc w:val="left"/>
              <w:rPr>
                <w:caps w:val="false"/>
                <w:smallCaps w:val="false"/>
              </w:rPr>
            </w:pPr>
            <w:r>
              <w:rPr>
                <w:caps w:val="false"/>
                <w:smallCaps w:val="false"/>
              </w:rPr>
              <w:t> </w:t>
            </w:r>
          </w:p>
        </w:tc>
        <w:tc>
          <w:tcPr>
            <w:tcW w:w="433"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8" w:type="dxa"/>
            <w:tcBorders/>
            <w:vAlign w:val="center"/>
          </w:tcPr>
          <w:p>
            <w:pPr>
              <w:pStyle w:val="TableContents"/>
              <w:bidi w:val="0"/>
              <w:spacing w:before="0" w:after="283"/>
              <w:jc w:val="left"/>
              <w:rPr>
                <w:caps w:val="false"/>
                <w:smallCaps w:val="false"/>
              </w:rPr>
            </w:pPr>
            <w:r>
              <w:rPr>
                <w:caps w:val="false"/>
                <w:smallCaps w:val="false"/>
              </w:rPr>
              <w:t> </w:t>
            </w:r>
          </w:p>
        </w:tc>
        <w:tc>
          <w:tcPr>
            <w:tcW w:w="718"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79" w:type="dxa"/>
            <w:tcBorders/>
            <w:vAlign w:val="center"/>
          </w:tcPr>
          <w:p>
            <w:pPr>
              <w:pStyle w:val="TableContents"/>
              <w:bidi w:val="0"/>
              <w:spacing w:before="0" w:after="283"/>
              <w:jc w:val="left"/>
              <w:rPr>
                <w:caps w:val="false"/>
                <w:smallCaps w:val="false"/>
              </w:rPr>
            </w:pPr>
            <w:r>
              <w:rPr>
                <w:caps w:val="false"/>
                <w:smallCaps w:val="false"/>
              </w:rPr>
              <w:t> </w:t>
            </w:r>
          </w:p>
        </w:tc>
        <w:tc>
          <w:tcPr>
            <w:tcW w:w="891"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119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90" w:type="dxa"/>
            <w:tcBorders/>
            <w:vAlign w:val="center"/>
          </w:tcPr>
          <w:p>
            <w:pPr>
              <w:pStyle w:val="TableContents"/>
              <w:bidi w:val="0"/>
              <w:spacing w:before="0" w:after="283"/>
              <w:jc w:val="left"/>
              <w:rPr>
                <w:caps w:val="false"/>
                <w:smallCaps w:val="false"/>
              </w:rPr>
            </w:pPr>
            <w:r>
              <w:rPr>
                <w:caps w:val="false"/>
                <w:smallCaps w:val="false"/>
              </w:rPr>
              <w:t> </w:t>
            </w:r>
          </w:p>
        </w:tc>
        <w:tc>
          <w:tcPr>
            <w:tcW w:w="867"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w:t>
            </w:r>
          </w:p>
        </w:tc>
        <w:tc>
          <w:tcPr>
            <w:tcW w:w="158"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3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Issuance of common stock from December 2024 Public Offering, net of offering costs of $214</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438,738</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2,527</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2,528</w:t>
            </w:r>
          </w:p>
        </w:tc>
        <w:tc>
          <w:tcPr>
            <w:tcW w:w="158"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3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Issuance of common stock upon settlement of restricted stock units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51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98" w:type="dxa"/>
            <w:tcBorders/>
            <w:vAlign w:val="center"/>
          </w:tcPr>
          <w:p>
            <w:pPr>
              <w:pStyle w:val="TableContents"/>
              <w:bidi w:val="0"/>
              <w:spacing w:before="0" w:after="283"/>
              <w:jc w:val="left"/>
              <w:rPr>
                <w:caps w:val="false"/>
                <w:smallCaps w:val="false"/>
              </w:rPr>
            </w:pPr>
            <w:r>
              <w:rPr>
                <w:caps w:val="false"/>
                <w:smallCaps w:val="false"/>
              </w:rPr>
              <w:t> </w:t>
            </w:r>
          </w:p>
        </w:tc>
        <w:tc>
          <w:tcPr>
            <w:tcW w:w="497"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6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92,959</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62" w:type="dxa"/>
            <w:tcBorders/>
            <w:vAlign w:val="center"/>
          </w:tcPr>
          <w:p>
            <w:pPr>
              <w:pStyle w:val="TableContents"/>
              <w:bidi w:val="0"/>
              <w:spacing w:before="0" w:after="283"/>
              <w:jc w:val="left"/>
              <w:rPr>
                <w:caps w:val="false"/>
                <w:smallCaps w:val="false"/>
              </w:rPr>
            </w:pPr>
            <w:r>
              <w:rPr>
                <w:caps w:val="false"/>
                <w:smallCaps w:val="false"/>
              </w:rPr>
              <w:t> </w:t>
            </w:r>
          </w:p>
        </w:tc>
        <w:tc>
          <w:tcPr>
            <w:tcW w:w="433"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8" w:type="dxa"/>
            <w:tcBorders/>
            <w:vAlign w:val="center"/>
          </w:tcPr>
          <w:p>
            <w:pPr>
              <w:pStyle w:val="TableContents"/>
              <w:bidi w:val="0"/>
              <w:spacing w:before="0" w:after="283"/>
              <w:jc w:val="left"/>
              <w:rPr>
                <w:caps w:val="false"/>
                <w:smallCaps w:val="false"/>
              </w:rPr>
            </w:pPr>
            <w:r>
              <w:rPr>
                <w:caps w:val="false"/>
                <w:smallCaps w:val="false"/>
              </w:rPr>
              <w:t> </w:t>
            </w:r>
          </w:p>
        </w:tc>
        <w:tc>
          <w:tcPr>
            <w:tcW w:w="718"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(185</w:t>
            </w:r>
          </w:p>
        </w:tc>
        <w:tc>
          <w:tcPr>
            <w:tcW w:w="1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79" w:type="dxa"/>
            <w:tcBorders/>
            <w:vAlign w:val="center"/>
          </w:tcPr>
          <w:p>
            <w:pPr>
              <w:pStyle w:val="TableContents"/>
              <w:bidi w:val="0"/>
              <w:spacing w:before="0" w:after="283"/>
              <w:jc w:val="left"/>
              <w:rPr>
                <w:caps w:val="false"/>
                <w:smallCaps w:val="false"/>
              </w:rPr>
            </w:pPr>
            <w:r>
              <w:rPr>
                <w:caps w:val="false"/>
                <w:smallCaps w:val="false"/>
              </w:rPr>
              <w:t> </w:t>
            </w:r>
          </w:p>
        </w:tc>
        <w:tc>
          <w:tcPr>
            <w:tcW w:w="891"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119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90" w:type="dxa"/>
            <w:tcBorders/>
            <w:vAlign w:val="center"/>
          </w:tcPr>
          <w:p>
            <w:pPr>
              <w:pStyle w:val="TableContents"/>
              <w:bidi w:val="0"/>
              <w:spacing w:before="0" w:after="283"/>
              <w:jc w:val="left"/>
              <w:rPr>
                <w:caps w:val="false"/>
                <w:smallCaps w:val="false"/>
              </w:rPr>
            </w:pPr>
            <w:r>
              <w:rPr>
                <w:caps w:val="false"/>
                <w:smallCaps w:val="false"/>
              </w:rPr>
              <w:t> </w:t>
            </w:r>
          </w:p>
        </w:tc>
        <w:tc>
          <w:tcPr>
            <w:tcW w:w="867"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(185</w:t>
            </w:r>
          </w:p>
        </w:tc>
        <w:tc>
          <w:tcPr>
            <w:tcW w:w="158" w:type="dxa"/>
            <w:tcBorders/>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r>
      <w:tr>
        <w:trPr/>
        <w:tc>
          <w:tcPr>
            <w:tcW w:w="13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Stock-based compensation - restricted stock units</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121</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121</w:t>
            </w:r>
          </w:p>
        </w:tc>
        <w:tc>
          <w:tcPr>
            <w:tcW w:w="158"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3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Stock-based compensation - stock options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51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98" w:type="dxa"/>
            <w:tcBorders/>
            <w:vAlign w:val="center"/>
          </w:tcPr>
          <w:p>
            <w:pPr>
              <w:pStyle w:val="TableContents"/>
              <w:bidi w:val="0"/>
              <w:spacing w:before="0" w:after="283"/>
              <w:jc w:val="left"/>
              <w:rPr>
                <w:caps w:val="false"/>
                <w:smallCaps w:val="false"/>
              </w:rPr>
            </w:pPr>
            <w:r>
              <w:rPr>
                <w:caps w:val="false"/>
                <w:smallCaps w:val="false"/>
              </w:rPr>
              <w:t> </w:t>
            </w:r>
          </w:p>
        </w:tc>
        <w:tc>
          <w:tcPr>
            <w:tcW w:w="497"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6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62" w:type="dxa"/>
            <w:tcBorders/>
            <w:vAlign w:val="center"/>
          </w:tcPr>
          <w:p>
            <w:pPr>
              <w:pStyle w:val="TableContents"/>
              <w:bidi w:val="0"/>
              <w:spacing w:before="0" w:after="283"/>
              <w:jc w:val="left"/>
              <w:rPr>
                <w:caps w:val="false"/>
                <w:smallCaps w:val="false"/>
              </w:rPr>
            </w:pPr>
            <w:r>
              <w:rPr>
                <w:caps w:val="false"/>
                <w:smallCaps w:val="false"/>
              </w:rPr>
              <w:t> </w:t>
            </w:r>
          </w:p>
        </w:tc>
        <w:tc>
          <w:tcPr>
            <w:tcW w:w="433"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8" w:type="dxa"/>
            <w:tcBorders/>
            <w:vAlign w:val="center"/>
          </w:tcPr>
          <w:p>
            <w:pPr>
              <w:pStyle w:val="TableContents"/>
              <w:bidi w:val="0"/>
              <w:spacing w:before="0" w:after="283"/>
              <w:jc w:val="left"/>
              <w:rPr>
                <w:caps w:val="false"/>
                <w:smallCaps w:val="false"/>
              </w:rPr>
            </w:pPr>
            <w:r>
              <w:rPr>
                <w:caps w:val="false"/>
                <w:smallCaps w:val="false"/>
              </w:rPr>
              <w:t> </w:t>
            </w:r>
          </w:p>
        </w:tc>
        <w:tc>
          <w:tcPr>
            <w:tcW w:w="718"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712</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79" w:type="dxa"/>
            <w:tcBorders/>
            <w:vAlign w:val="center"/>
          </w:tcPr>
          <w:p>
            <w:pPr>
              <w:pStyle w:val="TableContents"/>
              <w:bidi w:val="0"/>
              <w:spacing w:before="0" w:after="283"/>
              <w:jc w:val="left"/>
              <w:rPr>
                <w:caps w:val="false"/>
                <w:smallCaps w:val="false"/>
              </w:rPr>
            </w:pPr>
            <w:r>
              <w:rPr>
                <w:caps w:val="false"/>
                <w:smallCaps w:val="false"/>
              </w:rPr>
              <w:t> </w:t>
            </w:r>
          </w:p>
        </w:tc>
        <w:tc>
          <w:tcPr>
            <w:tcW w:w="891"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119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90" w:type="dxa"/>
            <w:tcBorders/>
            <w:vAlign w:val="center"/>
          </w:tcPr>
          <w:p>
            <w:pPr>
              <w:pStyle w:val="TableContents"/>
              <w:bidi w:val="0"/>
              <w:spacing w:before="0" w:after="283"/>
              <w:jc w:val="left"/>
              <w:rPr>
                <w:caps w:val="false"/>
                <w:smallCaps w:val="false"/>
              </w:rPr>
            </w:pPr>
            <w:r>
              <w:rPr>
                <w:caps w:val="false"/>
                <w:smallCaps w:val="false"/>
              </w:rPr>
              <w:t> </w:t>
            </w:r>
          </w:p>
        </w:tc>
        <w:tc>
          <w:tcPr>
            <w:tcW w:w="867"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712</w:t>
            </w:r>
          </w:p>
        </w:tc>
        <w:tc>
          <w:tcPr>
            <w:tcW w:w="158"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3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Unrealized gain (loss) on marketable debt securities</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87</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87</w:t>
            </w:r>
          </w:p>
        </w:tc>
        <w:tc>
          <w:tcPr>
            <w:tcW w:w="158"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3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Net income (loss)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98"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97"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62"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33"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8"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8"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79"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1"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(11,914</w:t>
            </w:r>
          </w:p>
        </w:tc>
        <w:tc>
          <w:tcPr>
            <w:tcW w:w="1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9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90"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7"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(11,914</w:t>
            </w:r>
          </w:p>
        </w:tc>
        <w:tc>
          <w:tcPr>
            <w:tcW w:w="158" w:type="dxa"/>
            <w:tcBorders/>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r>
      <w:tr>
        <w:trPr/>
        <w:tc>
          <w:tcPr>
            <w:tcW w:w="13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9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339" w:type="dxa"/>
            <w:tcBorders/>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Balance at March 31, 2025</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51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5,615</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497"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6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38,577,813</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433"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39</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718"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415,250</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7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891"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(256,894</w:t>
            </w:r>
          </w:p>
        </w:tc>
        <w:tc>
          <w:tcPr>
            <w:tcW w:w="1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19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89</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867"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158,484</w:t>
            </w:r>
          </w:p>
        </w:tc>
        <w:tc>
          <w:tcPr>
            <w:tcW w:w="158"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3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9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3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Issuance of common stock upon exercise of stock options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51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98" w:type="dxa"/>
            <w:tcBorders/>
            <w:vAlign w:val="center"/>
          </w:tcPr>
          <w:p>
            <w:pPr>
              <w:pStyle w:val="TableContents"/>
              <w:bidi w:val="0"/>
              <w:spacing w:before="0" w:after="283"/>
              <w:jc w:val="left"/>
              <w:rPr>
                <w:caps w:val="false"/>
                <w:smallCaps w:val="false"/>
              </w:rPr>
            </w:pPr>
            <w:r>
              <w:rPr>
                <w:caps w:val="false"/>
                <w:smallCaps w:val="false"/>
              </w:rPr>
              <w:t> </w:t>
            </w:r>
          </w:p>
        </w:tc>
        <w:tc>
          <w:tcPr>
            <w:tcW w:w="497"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6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2,842</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62" w:type="dxa"/>
            <w:tcBorders/>
            <w:vAlign w:val="center"/>
          </w:tcPr>
          <w:p>
            <w:pPr>
              <w:pStyle w:val="TableContents"/>
              <w:bidi w:val="0"/>
              <w:spacing w:before="0" w:after="283"/>
              <w:jc w:val="left"/>
              <w:rPr>
                <w:caps w:val="false"/>
                <w:smallCaps w:val="false"/>
              </w:rPr>
            </w:pPr>
            <w:r>
              <w:rPr>
                <w:caps w:val="false"/>
                <w:smallCaps w:val="false"/>
              </w:rPr>
              <w:t> </w:t>
            </w:r>
          </w:p>
        </w:tc>
        <w:tc>
          <w:tcPr>
            <w:tcW w:w="433"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8" w:type="dxa"/>
            <w:tcBorders/>
            <w:vAlign w:val="center"/>
          </w:tcPr>
          <w:p>
            <w:pPr>
              <w:pStyle w:val="TableContents"/>
              <w:bidi w:val="0"/>
              <w:spacing w:before="0" w:after="283"/>
              <w:jc w:val="left"/>
              <w:rPr>
                <w:caps w:val="false"/>
                <w:smallCaps w:val="false"/>
              </w:rPr>
            </w:pPr>
            <w:r>
              <w:rPr>
                <w:caps w:val="false"/>
                <w:smallCaps w:val="false"/>
              </w:rPr>
              <w:t> </w:t>
            </w:r>
          </w:p>
        </w:tc>
        <w:tc>
          <w:tcPr>
            <w:tcW w:w="718"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79" w:type="dxa"/>
            <w:tcBorders/>
            <w:vAlign w:val="center"/>
          </w:tcPr>
          <w:p>
            <w:pPr>
              <w:pStyle w:val="TableContents"/>
              <w:bidi w:val="0"/>
              <w:spacing w:before="0" w:after="283"/>
              <w:jc w:val="left"/>
              <w:rPr>
                <w:caps w:val="false"/>
                <w:smallCaps w:val="false"/>
              </w:rPr>
            </w:pPr>
            <w:r>
              <w:rPr>
                <w:caps w:val="false"/>
                <w:smallCaps w:val="false"/>
              </w:rPr>
              <w:t> </w:t>
            </w:r>
          </w:p>
        </w:tc>
        <w:tc>
          <w:tcPr>
            <w:tcW w:w="891"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1190" w:type="dxa"/>
            <w:tcBorders/>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18"/>
              </w:rPr>
              <w:t>-</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90" w:type="dxa"/>
            <w:tcBorders/>
            <w:vAlign w:val="center"/>
          </w:tcPr>
          <w:p>
            <w:pPr>
              <w:pStyle w:val="TableContents"/>
              <w:bidi w:val="0"/>
              <w:spacing w:before="0" w:after="283"/>
              <w:jc w:val="left"/>
              <w:rPr>
                <w:caps w:val="false"/>
                <w:smallCaps w:val="false"/>
              </w:rPr>
            </w:pPr>
            <w:r>
              <w:rPr>
                <w:caps w:val="false"/>
                <w:smallCaps w:val="false"/>
              </w:rPr>
              <w:t> </w:t>
            </w:r>
          </w:p>
        </w:tc>
        <w:tc>
          <w:tcPr>
            <w:tcW w:w="867"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w:t>
            </w:r>
          </w:p>
        </w:tc>
        <w:tc>
          <w:tcPr>
            <w:tcW w:w="158"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3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Issuance of common stock upon settlement of restricted stock units</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1,208</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8" w:type="dxa"/>
            <w:tcBorders/>
            <w:shd w:fill="CCEEFF" w:val="clear"/>
            <w:vAlign w:val="center"/>
          </w:tcPr>
          <w:p>
            <w:pPr>
              <w:pStyle w:val="TableContents"/>
              <w:bidi w:val="0"/>
              <w:spacing w:before="0" w:after="0"/>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7" w:type="dxa"/>
            <w:tcBorders/>
            <w:shd w:fill="CCEEFF" w:val="clear"/>
            <w:vAlign w:val="center"/>
          </w:tcPr>
          <w:p>
            <w:pPr>
              <w:pStyle w:val="TableContents"/>
              <w:bidi w:val="0"/>
              <w:spacing w:before="0" w:after="0"/>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58"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3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Stock-based compensation - restricted stock units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51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98" w:type="dxa"/>
            <w:tcBorders/>
            <w:vAlign w:val="center"/>
          </w:tcPr>
          <w:p>
            <w:pPr>
              <w:pStyle w:val="TableContents"/>
              <w:bidi w:val="0"/>
              <w:spacing w:before="0" w:after="283"/>
              <w:jc w:val="left"/>
              <w:rPr>
                <w:caps w:val="false"/>
                <w:smallCaps w:val="false"/>
              </w:rPr>
            </w:pPr>
            <w:r>
              <w:rPr>
                <w:caps w:val="false"/>
                <w:smallCaps w:val="false"/>
              </w:rPr>
              <w:t> </w:t>
            </w:r>
          </w:p>
        </w:tc>
        <w:tc>
          <w:tcPr>
            <w:tcW w:w="497"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6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62" w:type="dxa"/>
            <w:tcBorders/>
            <w:vAlign w:val="center"/>
          </w:tcPr>
          <w:p>
            <w:pPr>
              <w:pStyle w:val="TableContents"/>
              <w:bidi w:val="0"/>
              <w:spacing w:before="0" w:after="283"/>
              <w:jc w:val="left"/>
              <w:rPr>
                <w:caps w:val="false"/>
                <w:smallCaps w:val="false"/>
              </w:rPr>
            </w:pPr>
            <w:r>
              <w:rPr>
                <w:caps w:val="false"/>
                <w:smallCaps w:val="false"/>
              </w:rPr>
              <w:t> </w:t>
            </w:r>
          </w:p>
        </w:tc>
        <w:tc>
          <w:tcPr>
            <w:tcW w:w="433"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8" w:type="dxa"/>
            <w:tcBorders/>
            <w:vAlign w:val="center"/>
          </w:tcPr>
          <w:p>
            <w:pPr>
              <w:pStyle w:val="TableContents"/>
              <w:bidi w:val="0"/>
              <w:spacing w:before="0" w:after="283"/>
              <w:jc w:val="left"/>
              <w:rPr>
                <w:caps w:val="false"/>
                <w:smallCaps w:val="false"/>
              </w:rPr>
            </w:pPr>
            <w:r>
              <w:rPr>
                <w:caps w:val="false"/>
                <w:smallCaps w:val="false"/>
              </w:rPr>
              <w:t> </w:t>
            </w:r>
          </w:p>
        </w:tc>
        <w:tc>
          <w:tcPr>
            <w:tcW w:w="718"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167</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79" w:type="dxa"/>
            <w:tcBorders/>
            <w:vAlign w:val="center"/>
          </w:tcPr>
          <w:p>
            <w:pPr>
              <w:pStyle w:val="TableContents"/>
              <w:bidi w:val="0"/>
              <w:spacing w:before="0" w:after="283"/>
              <w:jc w:val="left"/>
              <w:rPr>
                <w:caps w:val="false"/>
                <w:smallCaps w:val="false"/>
              </w:rPr>
            </w:pPr>
            <w:r>
              <w:rPr>
                <w:caps w:val="false"/>
                <w:smallCaps w:val="false"/>
              </w:rPr>
              <w:t> </w:t>
            </w:r>
          </w:p>
        </w:tc>
        <w:tc>
          <w:tcPr>
            <w:tcW w:w="891"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119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90" w:type="dxa"/>
            <w:tcBorders/>
            <w:vAlign w:val="center"/>
          </w:tcPr>
          <w:p>
            <w:pPr>
              <w:pStyle w:val="TableContents"/>
              <w:bidi w:val="0"/>
              <w:spacing w:before="0" w:after="283"/>
              <w:jc w:val="left"/>
              <w:rPr>
                <w:caps w:val="false"/>
                <w:smallCaps w:val="false"/>
              </w:rPr>
            </w:pPr>
            <w:r>
              <w:rPr>
                <w:caps w:val="false"/>
                <w:smallCaps w:val="false"/>
              </w:rPr>
              <w:t> </w:t>
            </w:r>
          </w:p>
        </w:tc>
        <w:tc>
          <w:tcPr>
            <w:tcW w:w="867"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167</w:t>
            </w:r>
          </w:p>
        </w:tc>
        <w:tc>
          <w:tcPr>
            <w:tcW w:w="158"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3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Stock-based compensation - stock options</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736</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736</w:t>
            </w:r>
          </w:p>
        </w:tc>
        <w:tc>
          <w:tcPr>
            <w:tcW w:w="158"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3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Unrealized gain (loss) on marketable debt securities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51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98" w:type="dxa"/>
            <w:tcBorders/>
            <w:vAlign w:val="center"/>
          </w:tcPr>
          <w:p>
            <w:pPr>
              <w:pStyle w:val="TableContents"/>
              <w:bidi w:val="0"/>
              <w:spacing w:before="0" w:after="283"/>
              <w:jc w:val="left"/>
              <w:rPr>
                <w:caps w:val="false"/>
                <w:smallCaps w:val="false"/>
              </w:rPr>
            </w:pPr>
            <w:r>
              <w:rPr>
                <w:caps w:val="false"/>
                <w:smallCaps w:val="false"/>
              </w:rPr>
              <w:t> </w:t>
            </w:r>
          </w:p>
        </w:tc>
        <w:tc>
          <w:tcPr>
            <w:tcW w:w="497"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6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62" w:type="dxa"/>
            <w:tcBorders/>
            <w:vAlign w:val="center"/>
          </w:tcPr>
          <w:p>
            <w:pPr>
              <w:pStyle w:val="TableContents"/>
              <w:bidi w:val="0"/>
              <w:spacing w:before="0" w:after="283"/>
              <w:jc w:val="left"/>
              <w:rPr>
                <w:caps w:val="false"/>
                <w:smallCaps w:val="false"/>
              </w:rPr>
            </w:pPr>
            <w:r>
              <w:rPr>
                <w:caps w:val="false"/>
                <w:smallCaps w:val="false"/>
              </w:rPr>
              <w:t> </w:t>
            </w:r>
          </w:p>
        </w:tc>
        <w:tc>
          <w:tcPr>
            <w:tcW w:w="433"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8" w:type="dxa"/>
            <w:tcBorders/>
            <w:vAlign w:val="center"/>
          </w:tcPr>
          <w:p>
            <w:pPr>
              <w:pStyle w:val="TableContents"/>
              <w:bidi w:val="0"/>
              <w:spacing w:before="0" w:after="283"/>
              <w:jc w:val="left"/>
              <w:rPr>
                <w:caps w:val="false"/>
                <w:smallCaps w:val="false"/>
              </w:rPr>
            </w:pPr>
            <w:r>
              <w:rPr>
                <w:caps w:val="false"/>
                <w:smallCaps w:val="false"/>
              </w:rPr>
              <w:t> </w:t>
            </w:r>
          </w:p>
        </w:tc>
        <w:tc>
          <w:tcPr>
            <w:tcW w:w="718"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79" w:type="dxa"/>
            <w:tcBorders/>
            <w:vAlign w:val="center"/>
          </w:tcPr>
          <w:p>
            <w:pPr>
              <w:pStyle w:val="TableContents"/>
              <w:bidi w:val="0"/>
              <w:spacing w:before="0" w:after="283"/>
              <w:jc w:val="left"/>
              <w:rPr>
                <w:caps w:val="false"/>
                <w:smallCaps w:val="false"/>
              </w:rPr>
            </w:pPr>
            <w:r>
              <w:rPr>
                <w:caps w:val="false"/>
                <w:smallCaps w:val="false"/>
              </w:rPr>
              <w:t> </w:t>
            </w:r>
          </w:p>
        </w:tc>
        <w:tc>
          <w:tcPr>
            <w:tcW w:w="891"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119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(12</w:t>
            </w:r>
          </w:p>
        </w:tc>
        <w:tc>
          <w:tcPr>
            <w:tcW w:w="1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90" w:type="dxa"/>
            <w:tcBorders/>
            <w:vAlign w:val="center"/>
          </w:tcPr>
          <w:p>
            <w:pPr>
              <w:pStyle w:val="TableContents"/>
              <w:bidi w:val="0"/>
              <w:spacing w:before="0" w:after="283"/>
              <w:jc w:val="left"/>
              <w:rPr>
                <w:caps w:val="false"/>
                <w:smallCaps w:val="false"/>
              </w:rPr>
            </w:pPr>
            <w:r>
              <w:rPr>
                <w:caps w:val="false"/>
                <w:smallCaps w:val="false"/>
              </w:rPr>
              <w:t> </w:t>
            </w:r>
          </w:p>
        </w:tc>
        <w:tc>
          <w:tcPr>
            <w:tcW w:w="867"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(12</w:t>
            </w:r>
          </w:p>
        </w:tc>
        <w:tc>
          <w:tcPr>
            <w:tcW w:w="158"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r>
      <w:tr>
        <w:trPr/>
        <w:tc>
          <w:tcPr>
            <w:tcW w:w="13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Net income (loss)</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9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2"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33"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1"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(14,960</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9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(14,960</w:t>
            </w:r>
          </w:p>
        </w:tc>
        <w:tc>
          <w:tcPr>
            <w:tcW w:w="158"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r>
      <w:tr>
        <w:trPr/>
        <w:tc>
          <w:tcPr>
            <w:tcW w:w="1339"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515" w:type="dxa"/>
            <w:tcBorders/>
            <w:vAlign w:val="center"/>
          </w:tcPr>
          <w:p>
            <w:pPr>
              <w:pStyle w:val="TableContents"/>
              <w:bidi w:val="0"/>
              <w:spacing w:before="0" w:after="283"/>
              <w:jc w:val="righ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98" w:type="dxa"/>
            <w:tcBorders/>
            <w:vAlign w:val="center"/>
          </w:tcPr>
          <w:p>
            <w:pPr>
              <w:pStyle w:val="TableContents"/>
              <w:bidi w:val="0"/>
              <w:spacing w:before="0" w:after="283"/>
              <w:jc w:val="left"/>
              <w:rPr>
                <w:caps w:val="false"/>
                <w:smallCaps w:val="false"/>
              </w:rPr>
            </w:pPr>
            <w:r>
              <w:rPr>
                <w:caps w:val="false"/>
                <w:smallCaps w:val="false"/>
              </w:rPr>
              <w:t> </w:t>
            </w:r>
          </w:p>
        </w:tc>
        <w:tc>
          <w:tcPr>
            <w:tcW w:w="497" w:type="dxa"/>
            <w:tcBorders/>
            <w:vAlign w:val="center"/>
          </w:tcPr>
          <w:p>
            <w:pPr>
              <w:pStyle w:val="TableContents"/>
              <w:bidi w:val="0"/>
              <w:spacing w:before="0" w:after="283"/>
              <w:jc w:val="righ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60" w:type="dxa"/>
            <w:tcBorders/>
            <w:vAlign w:val="center"/>
          </w:tcPr>
          <w:p>
            <w:pPr>
              <w:pStyle w:val="TableContents"/>
              <w:bidi w:val="0"/>
              <w:spacing w:before="0" w:after="283"/>
              <w:jc w:val="righ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62" w:type="dxa"/>
            <w:tcBorders/>
            <w:vAlign w:val="center"/>
          </w:tcPr>
          <w:p>
            <w:pPr>
              <w:pStyle w:val="TableContents"/>
              <w:bidi w:val="0"/>
              <w:spacing w:before="0" w:after="283"/>
              <w:jc w:val="left"/>
              <w:rPr>
                <w:caps w:val="false"/>
                <w:smallCaps w:val="false"/>
              </w:rPr>
            </w:pPr>
            <w:r>
              <w:rPr>
                <w:caps w:val="false"/>
                <w:smallCaps w:val="false"/>
              </w:rPr>
              <w:t> </w:t>
            </w:r>
          </w:p>
        </w:tc>
        <w:tc>
          <w:tcPr>
            <w:tcW w:w="433" w:type="dxa"/>
            <w:tcBorders/>
            <w:vAlign w:val="center"/>
          </w:tcPr>
          <w:p>
            <w:pPr>
              <w:pStyle w:val="TableContents"/>
              <w:bidi w:val="0"/>
              <w:spacing w:before="0" w:after="283"/>
              <w:jc w:val="righ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8" w:type="dxa"/>
            <w:tcBorders/>
            <w:vAlign w:val="center"/>
          </w:tcPr>
          <w:p>
            <w:pPr>
              <w:pStyle w:val="TableContents"/>
              <w:bidi w:val="0"/>
              <w:spacing w:before="0" w:after="283"/>
              <w:jc w:val="left"/>
              <w:rPr>
                <w:caps w:val="false"/>
                <w:smallCaps w:val="false"/>
              </w:rPr>
            </w:pPr>
            <w:r>
              <w:rPr>
                <w:caps w:val="false"/>
                <w:smallCaps w:val="false"/>
              </w:rPr>
              <w:t> </w:t>
            </w:r>
          </w:p>
        </w:tc>
        <w:tc>
          <w:tcPr>
            <w:tcW w:w="718" w:type="dxa"/>
            <w:tcBorders/>
            <w:vAlign w:val="center"/>
          </w:tcPr>
          <w:p>
            <w:pPr>
              <w:pStyle w:val="TableContents"/>
              <w:bidi w:val="0"/>
              <w:spacing w:before="0" w:after="283"/>
              <w:jc w:val="righ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79" w:type="dxa"/>
            <w:tcBorders/>
            <w:vAlign w:val="center"/>
          </w:tcPr>
          <w:p>
            <w:pPr>
              <w:pStyle w:val="TableContents"/>
              <w:bidi w:val="0"/>
              <w:spacing w:before="0" w:after="283"/>
              <w:jc w:val="left"/>
              <w:rPr>
                <w:caps w:val="false"/>
                <w:smallCaps w:val="false"/>
              </w:rPr>
            </w:pPr>
            <w:r>
              <w:rPr>
                <w:caps w:val="false"/>
                <w:smallCaps w:val="false"/>
              </w:rPr>
              <w:t> </w:t>
            </w:r>
          </w:p>
        </w:tc>
        <w:tc>
          <w:tcPr>
            <w:tcW w:w="891" w:type="dxa"/>
            <w:tcBorders/>
            <w:vAlign w:val="center"/>
          </w:tcPr>
          <w:p>
            <w:pPr>
              <w:pStyle w:val="TableContents"/>
              <w:bidi w:val="0"/>
              <w:spacing w:before="0" w:after="283"/>
              <w:jc w:val="righ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1190" w:type="dxa"/>
            <w:tcBorders/>
            <w:vAlign w:val="center"/>
          </w:tcPr>
          <w:p>
            <w:pPr>
              <w:pStyle w:val="TableContents"/>
              <w:bidi w:val="0"/>
              <w:spacing w:before="0" w:after="283"/>
              <w:jc w:val="righ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90" w:type="dxa"/>
            <w:tcBorders/>
            <w:vAlign w:val="center"/>
          </w:tcPr>
          <w:p>
            <w:pPr>
              <w:pStyle w:val="TableContents"/>
              <w:bidi w:val="0"/>
              <w:spacing w:before="0" w:after="283"/>
              <w:jc w:val="left"/>
              <w:rPr>
                <w:caps w:val="false"/>
                <w:smallCaps w:val="false"/>
              </w:rPr>
            </w:pPr>
            <w:r>
              <w:rPr>
                <w:caps w:val="false"/>
                <w:smallCaps w:val="false"/>
              </w:rPr>
              <w:t> </w:t>
            </w:r>
          </w:p>
        </w:tc>
        <w:tc>
          <w:tcPr>
            <w:tcW w:w="867" w:type="dxa"/>
            <w:tcBorders/>
            <w:vAlign w:val="center"/>
          </w:tcPr>
          <w:p>
            <w:pPr>
              <w:pStyle w:val="TableContents"/>
              <w:bidi w:val="0"/>
              <w:spacing w:before="0" w:after="283"/>
              <w:jc w:val="right"/>
              <w:rPr>
                <w:caps w:val="false"/>
                <w:smallCaps w:val="false"/>
              </w:rPr>
            </w:pPr>
            <w:r>
              <w:rPr>
                <w:caps w:val="false"/>
                <w:smallCaps w:val="false"/>
              </w:rPr>
              <w:t> </w:t>
            </w:r>
          </w:p>
        </w:tc>
        <w:tc>
          <w:tcPr>
            <w:tcW w:w="158"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33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Balance at June 30, 2025</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5,615</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497"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38,581,863</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2"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433"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39</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718"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416,161</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891"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(271,854</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19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77</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867"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144,423</w:t>
            </w:r>
          </w:p>
        </w:tc>
        <w:tc>
          <w:tcPr>
            <w:tcW w:w="158"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339"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515" w:type="dxa"/>
            <w:tcBorders/>
            <w:vAlign w:val="center"/>
          </w:tcPr>
          <w:p>
            <w:pPr>
              <w:pStyle w:val="TableContents"/>
              <w:bidi w:val="0"/>
              <w:spacing w:before="0" w:after="283"/>
              <w:jc w:val="righ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98" w:type="dxa"/>
            <w:tcBorders/>
            <w:vAlign w:val="center"/>
          </w:tcPr>
          <w:p>
            <w:pPr>
              <w:pStyle w:val="TableContents"/>
              <w:bidi w:val="0"/>
              <w:spacing w:before="0" w:after="283"/>
              <w:jc w:val="left"/>
              <w:rPr>
                <w:caps w:val="false"/>
                <w:smallCaps w:val="false"/>
              </w:rPr>
            </w:pPr>
            <w:r>
              <w:rPr>
                <w:caps w:val="false"/>
                <w:smallCaps w:val="false"/>
              </w:rPr>
              <w:t> </w:t>
            </w:r>
          </w:p>
        </w:tc>
        <w:tc>
          <w:tcPr>
            <w:tcW w:w="497" w:type="dxa"/>
            <w:tcBorders/>
            <w:vAlign w:val="center"/>
          </w:tcPr>
          <w:p>
            <w:pPr>
              <w:pStyle w:val="TableContents"/>
              <w:bidi w:val="0"/>
              <w:spacing w:before="0" w:after="283"/>
              <w:jc w:val="righ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60" w:type="dxa"/>
            <w:tcBorders/>
            <w:vAlign w:val="center"/>
          </w:tcPr>
          <w:p>
            <w:pPr>
              <w:pStyle w:val="TableContents"/>
              <w:bidi w:val="0"/>
              <w:spacing w:before="0" w:after="283"/>
              <w:jc w:val="righ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62" w:type="dxa"/>
            <w:tcBorders/>
            <w:vAlign w:val="center"/>
          </w:tcPr>
          <w:p>
            <w:pPr>
              <w:pStyle w:val="TableContents"/>
              <w:bidi w:val="0"/>
              <w:spacing w:before="0" w:after="283"/>
              <w:jc w:val="left"/>
              <w:rPr>
                <w:caps w:val="false"/>
                <w:smallCaps w:val="false"/>
              </w:rPr>
            </w:pPr>
            <w:r>
              <w:rPr>
                <w:caps w:val="false"/>
                <w:smallCaps w:val="false"/>
              </w:rPr>
              <w:t> </w:t>
            </w:r>
          </w:p>
        </w:tc>
        <w:tc>
          <w:tcPr>
            <w:tcW w:w="433" w:type="dxa"/>
            <w:tcBorders/>
            <w:vAlign w:val="center"/>
          </w:tcPr>
          <w:p>
            <w:pPr>
              <w:pStyle w:val="TableContents"/>
              <w:bidi w:val="0"/>
              <w:spacing w:before="0" w:after="283"/>
              <w:jc w:val="righ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8" w:type="dxa"/>
            <w:tcBorders/>
            <w:vAlign w:val="center"/>
          </w:tcPr>
          <w:p>
            <w:pPr>
              <w:pStyle w:val="TableContents"/>
              <w:bidi w:val="0"/>
              <w:spacing w:before="0" w:after="283"/>
              <w:jc w:val="left"/>
              <w:rPr>
                <w:caps w:val="false"/>
                <w:smallCaps w:val="false"/>
              </w:rPr>
            </w:pPr>
            <w:r>
              <w:rPr>
                <w:caps w:val="false"/>
                <w:smallCaps w:val="false"/>
              </w:rPr>
              <w:t> </w:t>
            </w:r>
          </w:p>
        </w:tc>
        <w:tc>
          <w:tcPr>
            <w:tcW w:w="718" w:type="dxa"/>
            <w:tcBorders/>
            <w:vAlign w:val="center"/>
          </w:tcPr>
          <w:p>
            <w:pPr>
              <w:pStyle w:val="TableContents"/>
              <w:bidi w:val="0"/>
              <w:spacing w:before="0" w:after="283"/>
              <w:jc w:val="righ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79" w:type="dxa"/>
            <w:tcBorders/>
            <w:vAlign w:val="center"/>
          </w:tcPr>
          <w:p>
            <w:pPr>
              <w:pStyle w:val="TableContents"/>
              <w:bidi w:val="0"/>
              <w:spacing w:before="0" w:after="283"/>
              <w:jc w:val="left"/>
              <w:rPr>
                <w:caps w:val="false"/>
                <w:smallCaps w:val="false"/>
              </w:rPr>
            </w:pPr>
            <w:r>
              <w:rPr>
                <w:caps w:val="false"/>
                <w:smallCaps w:val="false"/>
              </w:rPr>
              <w:t> </w:t>
            </w:r>
          </w:p>
        </w:tc>
        <w:tc>
          <w:tcPr>
            <w:tcW w:w="891" w:type="dxa"/>
            <w:tcBorders/>
            <w:vAlign w:val="center"/>
          </w:tcPr>
          <w:p>
            <w:pPr>
              <w:pStyle w:val="TableContents"/>
              <w:bidi w:val="0"/>
              <w:spacing w:before="0" w:after="283"/>
              <w:jc w:val="righ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1190" w:type="dxa"/>
            <w:tcBorders/>
            <w:vAlign w:val="center"/>
          </w:tcPr>
          <w:p>
            <w:pPr>
              <w:pStyle w:val="TableContents"/>
              <w:bidi w:val="0"/>
              <w:spacing w:before="0" w:after="283"/>
              <w:jc w:val="righ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90" w:type="dxa"/>
            <w:tcBorders/>
            <w:vAlign w:val="center"/>
          </w:tcPr>
          <w:p>
            <w:pPr>
              <w:pStyle w:val="TableContents"/>
              <w:bidi w:val="0"/>
              <w:spacing w:before="0" w:after="283"/>
              <w:jc w:val="left"/>
              <w:rPr>
                <w:caps w:val="false"/>
                <w:smallCaps w:val="false"/>
              </w:rPr>
            </w:pPr>
            <w:r>
              <w:rPr>
                <w:caps w:val="false"/>
                <w:smallCaps w:val="false"/>
              </w:rPr>
              <w:t> </w:t>
            </w:r>
          </w:p>
        </w:tc>
        <w:tc>
          <w:tcPr>
            <w:tcW w:w="867" w:type="dxa"/>
            <w:tcBorders/>
            <w:vAlign w:val="center"/>
          </w:tcPr>
          <w:p>
            <w:pPr>
              <w:pStyle w:val="TableContents"/>
              <w:bidi w:val="0"/>
              <w:spacing w:before="0" w:after="283"/>
              <w:jc w:val="right"/>
              <w:rPr>
                <w:caps w:val="false"/>
                <w:smallCaps w:val="false"/>
              </w:rPr>
            </w:pPr>
            <w:r>
              <w:rPr>
                <w:caps w:val="false"/>
                <w:smallCaps w:val="false"/>
              </w:rPr>
              <w:t> </w:t>
            </w:r>
          </w:p>
        </w:tc>
        <w:tc>
          <w:tcPr>
            <w:tcW w:w="158"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33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Balance at December 31, 2025</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5,615</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4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53,587,260</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43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54</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71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498,687</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89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(302,419</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1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90</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8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196,412</w:t>
            </w:r>
          </w:p>
        </w:tc>
        <w:tc>
          <w:tcPr>
            <w:tcW w:w="158"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339"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515" w:type="dxa"/>
            <w:tcBorders/>
            <w:vAlign w:val="center"/>
          </w:tcPr>
          <w:p>
            <w:pPr>
              <w:pStyle w:val="TableContents"/>
              <w:bidi w:val="0"/>
              <w:spacing w:before="0" w:after="283"/>
              <w:jc w:val="righ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98" w:type="dxa"/>
            <w:tcBorders/>
            <w:vAlign w:val="center"/>
          </w:tcPr>
          <w:p>
            <w:pPr>
              <w:pStyle w:val="TableContents"/>
              <w:bidi w:val="0"/>
              <w:spacing w:before="0" w:after="283"/>
              <w:jc w:val="left"/>
              <w:rPr>
                <w:caps w:val="false"/>
                <w:smallCaps w:val="false"/>
              </w:rPr>
            </w:pPr>
            <w:r>
              <w:rPr>
                <w:caps w:val="false"/>
                <w:smallCaps w:val="false"/>
              </w:rPr>
              <w:t> </w:t>
            </w:r>
          </w:p>
        </w:tc>
        <w:tc>
          <w:tcPr>
            <w:tcW w:w="497" w:type="dxa"/>
            <w:tcBorders/>
            <w:vAlign w:val="center"/>
          </w:tcPr>
          <w:p>
            <w:pPr>
              <w:pStyle w:val="TableContents"/>
              <w:bidi w:val="0"/>
              <w:spacing w:before="0" w:after="283"/>
              <w:jc w:val="righ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60" w:type="dxa"/>
            <w:tcBorders/>
            <w:vAlign w:val="center"/>
          </w:tcPr>
          <w:p>
            <w:pPr>
              <w:pStyle w:val="TableContents"/>
              <w:bidi w:val="0"/>
              <w:spacing w:before="0" w:after="283"/>
              <w:jc w:val="righ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62" w:type="dxa"/>
            <w:tcBorders/>
            <w:vAlign w:val="center"/>
          </w:tcPr>
          <w:p>
            <w:pPr>
              <w:pStyle w:val="TableContents"/>
              <w:bidi w:val="0"/>
              <w:spacing w:before="0" w:after="283"/>
              <w:jc w:val="left"/>
              <w:rPr>
                <w:caps w:val="false"/>
                <w:smallCaps w:val="false"/>
              </w:rPr>
            </w:pPr>
            <w:r>
              <w:rPr>
                <w:caps w:val="false"/>
                <w:smallCaps w:val="false"/>
              </w:rPr>
              <w:t> </w:t>
            </w:r>
          </w:p>
        </w:tc>
        <w:tc>
          <w:tcPr>
            <w:tcW w:w="433" w:type="dxa"/>
            <w:tcBorders/>
            <w:vAlign w:val="center"/>
          </w:tcPr>
          <w:p>
            <w:pPr>
              <w:pStyle w:val="TableContents"/>
              <w:bidi w:val="0"/>
              <w:spacing w:before="0" w:after="283"/>
              <w:jc w:val="righ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8" w:type="dxa"/>
            <w:tcBorders/>
            <w:vAlign w:val="center"/>
          </w:tcPr>
          <w:p>
            <w:pPr>
              <w:pStyle w:val="TableContents"/>
              <w:bidi w:val="0"/>
              <w:spacing w:before="0" w:after="283"/>
              <w:jc w:val="left"/>
              <w:rPr>
                <w:caps w:val="false"/>
                <w:smallCaps w:val="false"/>
              </w:rPr>
            </w:pPr>
            <w:r>
              <w:rPr>
                <w:caps w:val="false"/>
                <w:smallCaps w:val="false"/>
              </w:rPr>
              <w:t> </w:t>
            </w:r>
          </w:p>
        </w:tc>
        <w:tc>
          <w:tcPr>
            <w:tcW w:w="718" w:type="dxa"/>
            <w:tcBorders/>
            <w:vAlign w:val="center"/>
          </w:tcPr>
          <w:p>
            <w:pPr>
              <w:pStyle w:val="TableContents"/>
              <w:bidi w:val="0"/>
              <w:spacing w:before="0" w:after="283"/>
              <w:jc w:val="righ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79" w:type="dxa"/>
            <w:tcBorders/>
            <w:vAlign w:val="center"/>
          </w:tcPr>
          <w:p>
            <w:pPr>
              <w:pStyle w:val="TableContents"/>
              <w:bidi w:val="0"/>
              <w:spacing w:before="0" w:after="283"/>
              <w:jc w:val="left"/>
              <w:rPr>
                <w:caps w:val="false"/>
                <w:smallCaps w:val="false"/>
              </w:rPr>
            </w:pPr>
            <w:r>
              <w:rPr>
                <w:caps w:val="false"/>
                <w:smallCaps w:val="false"/>
              </w:rPr>
              <w:t> </w:t>
            </w:r>
          </w:p>
        </w:tc>
        <w:tc>
          <w:tcPr>
            <w:tcW w:w="891" w:type="dxa"/>
            <w:tcBorders/>
            <w:vAlign w:val="center"/>
          </w:tcPr>
          <w:p>
            <w:pPr>
              <w:pStyle w:val="TableContents"/>
              <w:bidi w:val="0"/>
              <w:spacing w:before="0" w:after="283"/>
              <w:jc w:val="righ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1190" w:type="dxa"/>
            <w:tcBorders/>
            <w:vAlign w:val="center"/>
          </w:tcPr>
          <w:p>
            <w:pPr>
              <w:pStyle w:val="TableContents"/>
              <w:bidi w:val="0"/>
              <w:spacing w:before="0" w:after="283"/>
              <w:jc w:val="righ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90" w:type="dxa"/>
            <w:tcBorders/>
            <w:vAlign w:val="center"/>
          </w:tcPr>
          <w:p>
            <w:pPr>
              <w:pStyle w:val="TableContents"/>
              <w:bidi w:val="0"/>
              <w:spacing w:before="0" w:after="283"/>
              <w:jc w:val="left"/>
              <w:rPr>
                <w:caps w:val="false"/>
                <w:smallCaps w:val="false"/>
              </w:rPr>
            </w:pPr>
            <w:r>
              <w:rPr>
                <w:caps w:val="false"/>
                <w:smallCaps w:val="false"/>
              </w:rPr>
              <w:t> </w:t>
            </w:r>
          </w:p>
        </w:tc>
        <w:tc>
          <w:tcPr>
            <w:tcW w:w="867" w:type="dxa"/>
            <w:tcBorders/>
            <w:vAlign w:val="center"/>
          </w:tcPr>
          <w:p>
            <w:pPr>
              <w:pStyle w:val="TableContents"/>
              <w:bidi w:val="0"/>
              <w:spacing w:before="0" w:after="283"/>
              <w:jc w:val="right"/>
              <w:rPr>
                <w:caps w:val="false"/>
                <w:smallCaps w:val="false"/>
              </w:rPr>
            </w:pPr>
            <w:r>
              <w:rPr>
                <w:caps w:val="false"/>
                <w:smallCaps w:val="false"/>
              </w:rPr>
              <w:t> </w:t>
            </w:r>
          </w:p>
        </w:tc>
        <w:tc>
          <w:tcPr>
            <w:tcW w:w="158"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3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Issuance of common stock upon conversion of Series 1 Preferred Stock</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(971</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971,204</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58"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3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Issuance of common stock upon exercise of common warrants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51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98" w:type="dxa"/>
            <w:tcBorders/>
            <w:vAlign w:val="center"/>
          </w:tcPr>
          <w:p>
            <w:pPr>
              <w:pStyle w:val="TableContents"/>
              <w:bidi w:val="0"/>
              <w:spacing w:before="0" w:after="283"/>
              <w:jc w:val="left"/>
              <w:rPr>
                <w:caps w:val="false"/>
                <w:smallCaps w:val="false"/>
              </w:rPr>
            </w:pPr>
            <w:r>
              <w:rPr>
                <w:caps w:val="false"/>
                <w:smallCaps w:val="false"/>
              </w:rPr>
              <w:t> </w:t>
            </w:r>
          </w:p>
        </w:tc>
        <w:tc>
          <w:tcPr>
            <w:tcW w:w="497"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6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370,000</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62" w:type="dxa"/>
            <w:tcBorders/>
            <w:vAlign w:val="center"/>
          </w:tcPr>
          <w:p>
            <w:pPr>
              <w:pStyle w:val="TableContents"/>
              <w:bidi w:val="0"/>
              <w:spacing w:before="0" w:after="283"/>
              <w:jc w:val="left"/>
              <w:rPr>
                <w:caps w:val="false"/>
                <w:smallCaps w:val="false"/>
              </w:rPr>
            </w:pPr>
            <w:r>
              <w:rPr>
                <w:caps w:val="false"/>
                <w:smallCaps w:val="false"/>
              </w:rPr>
              <w:t> </w:t>
            </w:r>
          </w:p>
        </w:tc>
        <w:tc>
          <w:tcPr>
            <w:tcW w:w="433"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8" w:type="dxa"/>
            <w:tcBorders/>
            <w:vAlign w:val="center"/>
          </w:tcPr>
          <w:p>
            <w:pPr>
              <w:pStyle w:val="TableContents"/>
              <w:bidi w:val="0"/>
              <w:spacing w:before="0" w:after="283"/>
              <w:jc w:val="left"/>
              <w:rPr>
                <w:caps w:val="false"/>
                <w:smallCaps w:val="false"/>
              </w:rPr>
            </w:pPr>
            <w:r>
              <w:rPr>
                <w:caps w:val="false"/>
                <w:smallCaps w:val="false"/>
              </w:rPr>
              <w:t> </w:t>
            </w:r>
          </w:p>
        </w:tc>
        <w:tc>
          <w:tcPr>
            <w:tcW w:w="718"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1,942</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79" w:type="dxa"/>
            <w:tcBorders/>
            <w:vAlign w:val="center"/>
          </w:tcPr>
          <w:p>
            <w:pPr>
              <w:pStyle w:val="TableContents"/>
              <w:bidi w:val="0"/>
              <w:spacing w:before="0" w:after="283"/>
              <w:jc w:val="left"/>
              <w:rPr>
                <w:caps w:val="false"/>
                <w:smallCaps w:val="false"/>
              </w:rPr>
            </w:pPr>
            <w:r>
              <w:rPr>
                <w:caps w:val="false"/>
                <w:smallCaps w:val="false"/>
              </w:rPr>
              <w:t> </w:t>
            </w:r>
          </w:p>
        </w:tc>
        <w:tc>
          <w:tcPr>
            <w:tcW w:w="891"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119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90" w:type="dxa"/>
            <w:tcBorders/>
            <w:vAlign w:val="center"/>
          </w:tcPr>
          <w:p>
            <w:pPr>
              <w:pStyle w:val="TableContents"/>
              <w:bidi w:val="0"/>
              <w:spacing w:before="0" w:after="283"/>
              <w:jc w:val="left"/>
              <w:rPr>
                <w:caps w:val="false"/>
                <w:smallCaps w:val="false"/>
              </w:rPr>
            </w:pPr>
            <w:r>
              <w:rPr>
                <w:caps w:val="false"/>
                <w:smallCaps w:val="false"/>
              </w:rPr>
              <w:t> </w:t>
            </w:r>
          </w:p>
        </w:tc>
        <w:tc>
          <w:tcPr>
            <w:tcW w:w="867"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1,942</w:t>
            </w:r>
          </w:p>
        </w:tc>
        <w:tc>
          <w:tcPr>
            <w:tcW w:w="158"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3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Issuance of common stock upon settlement of restricted stock units</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127,118</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(272</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(272</w:t>
            </w:r>
          </w:p>
        </w:tc>
        <w:tc>
          <w:tcPr>
            <w:tcW w:w="158"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r>
      <w:tr>
        <w:trPr/>
        <w:tc>
          <w:tcPr>
            <w:tcW w:w="13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Stock-based compensation - restricted stock units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51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98" w:type="dxa"/>
            <w:tcBorders/>
            <w:vAlign w:val="center"/>
          </w:tcPr>
          <w:p>
            <w:pPr>
              <w:pStyle w:val="TableContents"/>
              <w:bidi w:val="0"/>
              <w:spacing w:before="0" w:after="283"/>
              <w:jc w:val="left"/>
              <w:rPr>
                <w:caps w:val="false"/>
                <w:smallCaps w:val="false"/>
              </w:rPr>
            </w:pPr>
            <w:r>
              <w:rPr>
                <w:caps w:val="false"/>
                <w:smallCaps w:val="false"/>
              </w:rPr>
              <w:t> </w:t>
            </w:r>
          </w:p>
        </w:tc>
        <w:tc>
          <w:tcPr>
            <w:tcW w:w="497"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6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62" w:type="dxa"/>
            <w:tcBorders/>
            <w:vAlign w:val="center"/>
          </w:tcPr>
          <w:p>
            <w:pPr>
              <w:pStyle w:val="TableContents"/>
              <w:bidi w:val="0"/>
              <w:spacing w:before="0" w:after="283"/>
              <w:jc w:val="left"/>
              <w:rPr>
                <w:caps w:val="false"/>
                <w:smallCaps w:val="false"/>
              </w:rPr>
            </w:pPr>
            <w:r>
              <w:rPr>
                <w:caps w:val="false"/>
                <w:smallCaps w:val="false"/>
              </w:rPr>
              <w:t> </w:t>
            </w:r>
          </w:p>
        </w:tc>
        <w:tc>
          <w:tcPr>
            <w:tcW w:w="433"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8" w:type="dxa"/>
            <w:tcBorders/>
            <w:vAlign w:val="center"/>
          </w:tcPr>
          <w:p>
            <w:pPr>
              <w:pStyle w:val="TableContents"/>
              <w:bidi w:val="0"/>
              <w:spacing w:before="0" w:after="283"/>
              <w:jc w:val="left"/>
              <w:rPr>
                <w:caps w:val="false"/>
                <w:smallCaps w:val="false"/>
              </w:rPr>
            </w:pPr>
            <w:r>
              <w:rPr>
                <w:caps w:val="false"/>
                <w:smallCaps w:val="false"/>
              </w:rPr>
              <w:t> </w:t>
            </w:r>
          </w:p>
        </w:tc>
        <w:tc>
          <w:tcPr>
            <w:tcW w:w="718"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317</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79" w:type="dxa"/>
            <w:tcBorders/>
            <w:vAlign w:val="center"/>
          </w:tcPr>
          <w:p>
            <w:pPr>
              <w:pStyle w:val="TableContents"/>
              <w:bidi w:val="0"/>
              <w:spacing w:before="0" w:after="283"/>
              <w:jc w:val="left"/>
              <w:rPr>
                <w:caps w:val="false"/>
                <w:smallCaps w:val="false"/>
              </w:rPr>
            </w:pPr>
            <w:r>
              <w:rPr>
                <w:caps w:val="false"/>
                <w:smallCaps w:val="false"/>
              </w:rPr>
              <w:t> </w:t>
            </w:r>
          </w:p>
        </w:tc>
        <w:tc>
          <w:tcPr>
            <w:tcW w:w="891"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119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90" w:type="dxa"/>
            <w:tcBorders/>
            <w:vAlign w:val="center"/>
          </w:tcPr>
          <w:p>
            <w:pPr>
              <w:pStyle w:val="TableContents"/>
              <w:bidi w:val="0"/>
              <w:spacing w:before="0" w:after="283"/>
              <w:jc w:val="left"/>
              <w:rPr>
                <w:caps w:val="false"/>
                <w:smallCaps w:val="false"/>
              </w:rPr>
            </w:pPr>
            <w:r>
              <w:rPr>
                <w:caps w:val="false"/>
                <w:smallCaps w:val="false"/>
              </w:rPr>
              <w:t> </w:t>
            </w:r>
          </w:p>
        </w:tc>
        <w:tc>
          <w:tcPr>
            <w:tcW w:w="867"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317</w:t>
            </w:r>
          </w:p>
        </w:tc>
        <w:tc>
          <w:tcPr>
            <w:tcW w:w="158"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3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Stock-based compensation - stock options</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1,045</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1,045</w:t>
            </w:r>
          </w:p>
        </w:tc>
        <w:tc>
          <w:tcPr>
            <w:tcW w:w="158"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3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Unrealized gain (loss) on marketable debt securities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51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98" w:type="dxa"/>
            <w:tcBorders/>
            <w:vAlign w:val="center"/>
          </w:tcPr>
          <w:p>
            <w:pPr>
              <w:pStyle w:val="TableContents"/>
              <w:bidi w:val="0"/>
              <w:spacing w:before="0" w:after="283"/>
              <w:jc w:val="left"/>
              <w:rPr>
                <w:caps w:val="false"/>
                <w:smallCaps w:val="false"/>
              </w:rPr>
            </w:pPr>
            <w:r>
              <w:rPr>
                <w:caps w:val="false"/>
                <w:smallCaps w:val="false"/>
              </w:rPr>
              <w:t> </w:t>
            </w:r>
          </w:p>
        </w:tc>
        <w:tc>
          <w:tcPr>
            <w:tcW w:w="497"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6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62" w:type="dxa"/>
            <w:tcBorders/>
            <w:vAlign w:val="center"/>
          </w:tcPr>
          <w:p>
            <w:pPr>
              <w:pStyle w:val="TableContents"/>
              <w:bidi w:val="0"/>
              <w:spacing w:before="0" w:after="283"/>
              <w:jc w:val="left"/>
              <w:rPr>
                <w:caps w:val="false"/>
                <w:smallCaps w:val="false"/>
              </w:rPr>
            </w:pPr>
            <w:r>
              <w:rPr>
                <w:caps w:val="false"/>
                <w:smallCaps w:val="false"/>
              </w:rPr>
              <w:t> </w:t>
            </w:r>
          </w:p>
        </w:tc>
        <w:tc>
          <w:tcPr>
            <w:tcW w:w="433"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8" w:type="dxa"/>
            <w:tcBorders/>
            <w:vAlign w:val="center"/>
          </w:tcPr>
          <w:p>
            <w:pPr>
              <w:pStyle w:val="TableContents"/>
              <w:bidi w:val="0"/>
              <w:spacing w:before="0" w:after="283"/>
              <w:jc w:val="left"/>
              <w:rPr>
                <w:caps w:val="false"/>
                <w:smallCaps w:val="false"/>
              </w:rPr>
            </w:pPr>
            <w:r>
              <w:rPr>
                <w:caps w:val="false"/>
                <w:smallCaps w:val="false"/>
              </w:rPr>
              <w:t> </w:t>
            </w:r>
          </w:p>
        </w:tc>
        <w:tc>
          <w:tcPr>
            <w:tcW w:w="718"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79" w:type="dxa"/>
            <w:tcBorders/>
            <w:vAlign w:val="center"/>
          </w:tcPr>
          <w:p>
            <w:pPr>
              <w:pStyle w:val="TableContents"/>
              <w:bidi w:val="0"/>
              <w:spacing w:before="0" w:after="283"/>
              <w:jc w:val="left"/>
              <w:rPr>
                <w:caps w:val="false"/>
                <w:smallCaps w:val="false"/>
              </w:rPr>
            </w:pPr>
            <w:r>
              <w:rPr>
                <w:caps w:val="false"/>
                <w:smallCaps w:val="false"/>
              </w:rPr>
              <w:t> </w:t>
            </w:r>
          </w:p>
        </w:tc>
        <w:tc>
          <w:tcPr>
            <w:tcW w:w="891"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119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(454</w:t>
            </w:r>
          </w:p>
        </w:tc>
        <w:tc>
          <w:tcPr>
            <w:tcW w:w="1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90" w:type="dxa"/>
            <w:tcBorders/>
            <w:vAlign w:val="center"/>
          </w:tcPr>
          <w:p>
            <w:pPr>
              <w:pStyle w:val="TableContents"/>
              <w:bidi w:val="0"/>
              <w:spacing w:before="0" w:after="283"/>
              <w:jc w:val="left"/>
              <w:rPr>
                <w:caps w:val="false"/>
                <w:smallCaps w:val="false"/>
              </w:rPr>
            </w:pPr>
            <w:r>
              <w:rPr>
                <w:caps w:val="false"/>
                <w:smallCaps w:val="false"/>
              </w:rPr>
              <w:t> </w:t>
            </w:r>
          </w:p>
        </w:tc>
        <w:tc>
          <w:tcPr>
            <w:tcW w:w="867"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(454</w:t>
            </w:r>
          </w:p>
        </w:tc>
        <w:tc>
          <w:tcPr>
            <w:tcW w:w="158" w:type="dxa"/>
            <w:tcBorders/>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r>
      <w:tr>
        <w:trPr/>
        <w:tc>
          <w:tcPr>
            <w:tcW w:w="13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Net income (loss)</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9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2"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33"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1"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(17,782</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9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(17,782</w:t>
            </w:r>
          </w:p>
        </w:tc>
        <w:tc>
          <w:tcPr>
            <w:tcW w:w="158"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r>
      <w:tr>
        <w:trPr/>
        <w:tc>
          <w:tcPr>
            <w:tcW w:w="1339"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515" w:type="dxa"/>
            <w:tcBorders/>
            <w:vAlign w:val="center"/>
          </w:tcPr>
          <w:p>
            <w:pPr>
              <w:pStyle w:val="TableContents"/>
              <w:bidi w:val="0"/>
              <w:spacing w:before="0" w:after="283"/>
              <w:jc w:val="righ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98" w:type="dxa"/>
            <w:tcBorders/>
            <w:vAlign w:val="center"/>
          </w:tcPr>
          <w:p>
            <w:pPr>
              <w:pStyle w:val="TableContents"/>
              <w:bidi w:val="0"/>
              <w:spacing w:before="0" w:after="283"/>
              <w:jc w:val="left"/>
              <w:rPr>
                <w:caps w:val="false"/>
                <w:smallCaps w:val="false"/>
              </w:rPr>
            </w:pPr>
            <w:r>
              <w:rPr>
                <w:caps w:val="false"/>
                <w:smallCaps w:val="false"/>
              </w:rPr>
              <w:t> </w:t>
            </w:r>
          </w:p>
        </w:tc>
        <w:tc>
          <w:tcPr>
            <w:tcW w:w="497" w:type="dxa"/>
            <w:tcBorders/>
            <w:vAlign w:val="center"/>
          </w:tcPr>
          <w:p>
            <w:pPr>
              <w:pStyle w:val="TableContents"/>
              <w:bidi w:val="0"/>
              <w:spacing w:before="0" w:after="283"/>
              <w:jc w:val="righ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60" w:type="dxa"/>
            <w:tcBorders/>
            <w:vAlign w:val="center"/>
          </w:tcPr>
          <w:p>
            <w:pPr>
              <w:pStyle w:val="TableContents"/>
              <w:bidi w:val="0"/>
              <w:spacing w:before="0" w:after="283"/>
              <w:jc w:val="righ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62" w:type="dxa"/>
            <w:tcBorders/>
            <w:vAlign w:val="center"/>
          </w:tcPr>
          <w:p>
            <w:pPr>
              <w:pStyle w:val="TableContents"/>
              <w:bidi w:val="0"/>
              <w:spacing w:before="0" w:after="283"/>
              <w:jc w:val="left"/>
              <w:rPr>
                <w:caps w:val="false"/>
                <w:smallCaps w:val="false"/>
              </w:rPr>
            </w:pPr>
            <w:r>
              <w:rPr>
                <w:caps w:val="false"/>
                <w:smallCaps w:val="false"/>
              </w:rPr>
              <w:t> </w:t>
            </w:r>
          </w:p>
        </w:tc>
        <w:tc>
          <w:tcPr>
            <w:tcW w:w="433" w:type="dxa"/>
            <w:tcBorders/>
            <w:vAlign w:val="center"/>
          </w:tcPr>
          <w:p>
            <w:pPr>
              <w:pStyle w:val="TableContents"/>
              <w:bidi w:val="0"/>
              <w:spacing w:before="0" w:after="283"/>
              <w:jc w:val="righ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8" w:type="dxa"/>
            <w:tcBorders/>
            <w:vAlign w:val="center"/>
          </w:tcPr>
          <w:p>
            <w:pPr>
              <w:pStyle w:val="TableContents"/>
              <w:bidi w:val="0"/>
              <w:spacing w:before="0" w:after="283"/>
              <w:jc w:val="left"/>
              <w:rPr>
                <w:caps w:val="false"/>
                <w:smallCaps w:val="false"/>
              </w:rPr>
            </w:pPr>
            <w:r>
              <w:rPr>
                <w:caps w:val="false"/>
                <w:smallCaps w:val="false"/>
              </w:rPr>
              <w:t> </w:t>
            </w:r>
          </w:p>
        </w:tc>
        <w:tc>
          <w:tcPr>
            <w:tcW w:w="718" w:type="dxa"/>
            <w:tcBorders/>
            <w:vAlign w:val="center"/>
          </w:tcPr>
          <w:p>
            <w:pPr>
              <w:pStyle w:val="TableContents"/>
              <w:bidi w:val="0"/>
              <w:spacing w:before="0" w:after="283"/>
              <w:jc w:val="righ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79" w:type="dxa"/>
            <w:tcBorders/>
            <w:vAlign w:val="center"/>
          </w:tcPr>
          <w:p>
            <w:pPr>
              <w:pStyle w:val="TableContents"/>
              <w:bidi w:val="0"/>
              <w:spacing w:before="0" w:after="283"/>
              <w:jc w:val="left"/>
              <w:rPr>
                <w:caps w:val="false"/>
                <w:smallCaps w:val="false"/>
              </w:rPr>
            </w:pPr>
            <w:r>
              <w:rPr>
                <w:caps w:val="false"/>
                <w:smallCaps w:val="false"/>
              </w:rPr>
              <w:t> </w:t>
            </w:r>
          </w:p>
        </w:tc>
        <w:tc>
          <w:tcPr>
            <w:tcW w:w="891" w:type="dxa"/>
            <w:tcBorders/>
            <w:vAlign w:val="center"/>
          </w:tcPr>
          <w:p>
            <w:pPr>
              <w:pStyle w:val="TableContents"/>
              <w:bidi w:val="0"/>
              <w:spacing w:before="0" w:after="283"/>
              <w:jc w:val="righ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1190" w:type="dxa"/>
            <w:tcBorders/>
            <w:vAlign w:val="center"/>
          </w:tcPr>
          <w:p>
            <w:pPr>
              <w:pStyle w:val="TableContents"/>
              <w:bidi w:val="0"/>
              <w:spacing w:before="0" w:after="283"/>
              <w:jc w:val="righ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90" w:type="dxa"/>
            <w:tcBorders/>
            <w:vAlign w:val="center"/>
          </w:tcPr>
          <w:p>
            <w:pPr>
              <w:pStyle w:val="TableContents"/>
              <w:bidi w:val="0"/>
              <w:spacing w:before="0" w:after="283"/>
              <w:jc w:val="left"/>
              <w:rPr>
                <w:caps w:val="false"/>
                <w:smallCaps w:val="false"/>
              </w:rPr>
            </w:pPr>
            <w:r>
              <w:rPr>
                <w:caps w:val="false"/>
                <w:smallCaps w:val="false"/>
              </w:rPr>
              <w:t> </w:t>
            </w:r>
          </w:p>
        </w:tc>
        <w:tc>
          <w:tcPr>
            <w:tcW w:w="867" w:type="dxa"/>
            <w:tcBorders/>
            <w:vAlign w:val="center"/>
          </w:tcPr>
          <w:p>
            <w:pPr>
              <w:pStyle w:val="TableContents"/>
              <w:bidi w:val="0"/>
              <w:spacing w:before="0" w:after="283"/>
              <w:jc w:val="right"/>
              <w:rPr>
                <w:caps w:val="false"/>
                <w:smallCaps w:val="false"/>
              </w:rPr>
            </w:pPr>
            <w:r>
              <w:rPr>
                <w:caps w:val="false"/>
                <w:smallCaps w:val="false"/>
              </w:rPr>
              <w:t> </w:t>
            </w:r>
          </w:p>
        </w:tc>
        <w:tc>
          <w:tcPr>
            <w:tcW w:w="158"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33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Balance at March 31, 2026</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4,644</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4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55,055,582</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43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55</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71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501,718</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89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(320,201</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1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(364</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8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181,208</w:t>
            </w:r>
          </w:p>
        </w:tc>
        <w:tc>
          <w:tcPr>
            <w:tcW w:w="158"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339"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515" w:type="dxa"/>
            <w:tcBorders/>
            <w:vAlign w:val="center"/>
          </w:tcPr>
          <w:p>
            <w:pPr>
              <w:pStyle w:val="TableContents"/>
              <w:bidi w:val="0"/>
              <w:spacing w:before="0" w:after="283"/>
              <w:jc w:val="righ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98" w:type="dxa"/>
            <w:tcBorders/>
            <w:vAlign w:val="center"/>
          </w:tcPr>
          <w:p>
            <w:pPr>
              <w:pStyle w:val="TableContents"/>
              <w:bidi w:val="0"/>
              <w:spacing w:before="0" w:after="283"/>
              <w:jc w:val="left"/>
              <w:rPr>
                <w:caps w:val="false"/>
                <w:smallCaps w:val="false"/>
              </w:rPr>
            </w:pPr>
            <w:r>
              <w:rPr>
                <w:caps w:val="false"/>
                <w:smallCaps w:val="false"/>
              </w:rPr>
              <w:t> </w:t>
            </w:r>
          </w:p>
        </w:tc>
        <w:tc>
          <w:tcPr>
            <w:tcW w:w="497" w:type="dxa"/>
            <w:tcBorders/>
            <w:vAlign w:val="center"/>
          </w:tcPr>
          <w:p>
            <w:pPr>
              <w:pStyle w:val="TableContents"/>
              <w:bidi w:val="0"/>
              <w:spacing w:before="0" w:after="283"/>
              <w:jc w:val="righ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60" w:type="dxa"/>
            <w:tcBorders/>
            <w:vAlign w:val="center"/>
          </w:tcPr>
          <w:p>
            <w:pPr>
              <w:pStyle w:val="TableContents"/>
              <w:bidi w:val="0"/>
              <w:spacing w:before="0" w:after="283"/>
              <w:jc w:val="righ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62" w:type="dxa"/>
            <w:tcBorders/>
            <w:vAlign w:val="center"/>
          </w:tcPr>
          <w:p>
            <w:pPr>
              <w:pStyle w:val="TableContents"/>
              <w:bidi w:val="0"/>
              <w:spacing w:before="0" w:after="283"/>
              <w:jc w:val="left"/>
              <w:rPr>
                <w:caps w:val="false"/>
                <w:smallCaps w:val="false"/>
              </w:rPr>
            </w:pPr>
            <w:r>
              <w:rPr>
                <w:caps w:val="false"/>
                <w:smallCaps w:val="false"/>
              </w:rPr>
              <w:t> </w:t>
            </w:r>
          </w:p>
        </w:tc>
        <w:tc>
          <w:tcPr>
            <w:tcW w:w="433" w:type="dxa"/>
            <w:tcBorders/>
            <w:vAlign w:val="center"/>
          </w:tcPr>
          <w:p>
            <w:pPr>
              <w:pStyle w:val="TableContents"/>
              <w:bidi w:val="0"/>
              <w:spacing w:before="0" w:after="283"/>
              <w:jc w:val="righ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8" w:type="dxa"/>
            <w:tcBorders/>
            <w:vAlign w:val="center"/>
          </w:tcPr>
          <w:p>
            <w:pPr>
              <w:pStyle w:val="TableContents"/>
              <w:bidi w:val="0"/>
              <w:spacing w:before="0" w:after="283"/>
              <w:jc w:val="left"/>
              <w:rPr>
                <w:caps w:val="false"/>
                <w:smallCaps w:val="false"/>
              </w:rPr>
            </w:pPr>
            <w:r>
              <w:rPr>
                <w:caps w:val="false"/>
                <w:smallCaps w:val="false"/>
              </w:rPr>
              <w:t> </w:t>
            </w:r>
          </w:p>
        </w:tc>
        <w:tc>
          <w:tcPr>
            <w:tcW w:w="718" w:type="dxa"/>
            <w:tcBorders/>
            <w:vAlign w:val="center"/>
          </w:tcPr>
          <w:p>
            <w:pPr>
              <w:pStyle w:val="TableContents"/>
              <w:bidi w:val="0"/>
              <w:spacing w:before="0" w:after="283"/>
              <w:jc w:val="righ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79" w:type="dxa"/>
            <w:tcBorders/>
            <w:vAlign w:val="center"/>
          </w:tcPr>
          <w:p>
            <w:pPr>
              <w:pStyle w:val="TableContents"/>
              <w:bidi w:val="0"/>
              <w:spacing w:before="0" w:after="283"/>
              <w:jc w:val="left"/>
              <w:rPr>
                <w:caps w:val="false"/>
                <w:smallCaps w:val="false"/>
              </w:rPr>
            </w:pPr>
            <w:r>
              <w:rPr>
                <w:caps w:val="false"/>
                <w:smallCaps w:val="false"/>
              </w:rPr>
              <w:t> </w:t>
            </w:r>
          </w:p>
        </w:tc>
        <w:tc>
          <w:tcPr>
            <w:tcW w:w="891" w:type="dxa"/>
            <w:tcBorders/>
            <w:vAlign w:val="center"/>
          </w:tcPr>
          <w:p>
            <w:pPr>
              <w:pStyle w:val="TableContents"/>
              <w:bidi w:val="0"/>
              <w:spacing w:before="0" w:after="283"/>
              <w:jc w:val="righ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1190" w:type="dxa"/>
            <w:tcBorders/>
            <w:vAlign w:val="center"/>
          </w:tcPr>
          <w:p>
            <w:pPr>
              <w:pStyle w:val="TableContents"/>
              <w:bidi w:val="0"/>
              <w:spacing w:before="0" w:after="283"/>
              <w:jc w:val="righ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90" w:type="dxa"/>
            <w:tcBorders/>
            <w:vAlign w:val="center"/>
          </w:tcPr>
          <w:p>
            <w:pPr>
              <w:pStyle w:val="TableContents"/>
              <w:bidi w:val="0"/>
              <w:spacing w:before="0" w:after="283"/>
              <w:jc w:val="left"/>
              <w:rPr>
                <w:caps w:val="false"/>
                <w:smallCaps w:val="false"/>
              </w:rPr>
            </w:pPr>
            <w:r>
              <w:rPr>
                <w:caps w:val="false"/>
                <w:smallCaps w:val="false"/>
              </w:rPr>
              <w:t> </w:t>
            </w:r>
          </w:p>
        </w:tc>
        <w:tc>
          <w:tcPr>
            <w:tcW w:w="867" w:type="dxa"/>
            <w:tcBorders/>
            <w:vAlign w:val="center"/>
          </w:tcPr>
          <w:p>
            <w:pPr>
              <w:pStyle w:val="TableContents"/>
              <w:bidi w:val="0"/>
              <w:spacing w:before="0" w:after="283"/>
              <w:jc w:val="right"/>
              <w:rPr>
                <w:caps w:val="false"/>
                <w:smallCaps w:val="false"/>
              </w:rPr>
            </w:pPr>
            <w:r>
              <w:rPr>
                <w:caps w:val="false"/>
                <w:smallCaps w:val="false"/>
              </w:rPr>
              <w:t> </w:t>
            </w:r>
          </w:p>
        </w:tc>
        <w:tc>
          <w:tcPr>
            <w:tcW w:w="158"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3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Issuance of common stock upon conversion of Series 1 Preferred Stock</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(3,772</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3,773,586</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58"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3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Issuance of common stock upon exercise of stock options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51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98" w:type="dxa"/>
            <w:tcBorders/>
            <w:vAlign w:val="center"/>
          </w:tcPr>
          <w:p>
            <w:pPr>
              <w:pStyle w:val="TableContents"/>
              <w:bidi w:val="0"/>
              <w:spacing w:before="0" w:after="283"/>
              <w:jc w:val="left"/>
              <w:rPr>
                <w:caps w:val="false"/>
                <w:smallCaps w:val="false"/>
              </w:rPr>
            </w:pPr>
            <w:r>
              <w:rPr>
                <w:caps w:val="false"/>
                <w:smallCaps w:val="false"/>
              </w:rPr>
              <w:t> </w:t>
            </w:r>
          </w:p>
        </w:tc>
        <w:tc>
          <w:tcPr>
            <w:tcW w:w="497"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6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215,687</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62" w:type="dxa"/>
            <w:tcBorders/>
            <w:vAlign w:val="center"/>
          </w:tcPr>
          <w:p>
            <w:pPr>
              <w:pStyle w:val="TableContents"/>
              <w:bidi w:val="0"/>
              <w:spacing w:before="0" w:after="283"/>
              <w:jc w:val="left"/>
              <w:rPr>
                <w:caps w:val="false"/>
                <w:smallCaps w:val="false"/>
              </w:rPr>
            </w:pPr>
            <w:r>
              <w:rPr>
                <w:caps w:val="false"/>
                <w:smallCaps w:val="false"/>
              </w:rPr>
              <w:t> </w:t>
            </w:r>
          </w:p>
        </w:tc>
        <w:tc>
          <w:tcPr>
            <w:tcW w:w="433"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8" w:type="dxa"/>
            <w:tcBorders/>
            <w:vAlign w:val="center"/>
          </w:tcPr>
          <w:p>
            <w:pPr>
              <w:pStyle w:val="TableContents"/>
              <w:bidi w:val="0"/>
              <w:spacing w:before="0" w:after="283"/>
              <w:jc w:val="left"/>
              <w:rPr>
                <w:caps w:val="false"/>
                <w:smallCaps w:val="false"/>
              </w:rPr>
            </w:pPr>
            <w:r>
              <w:rPr>
                <w:caps w:val="false"/>
                <w:smallCaps w:val="false"/>
              </w:rPr>
              <w:t> </w:t>
            </w:r>
          </w:p>
        </w:tc>
        <w:tc>
          <w:tcPr>
            <w:tcW w:w="718"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412</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79" w:type="dxa"/>
            <w:tcBorders/>
            <w:vAlign w:val="center"/>
          </w:tcPr>
          <w:p>
            <w:pPr>
              <w:pStyle w:val="TableContents"/>
              <w:bidi w:val="0"/>
              <w:spacing w:before="0" w:after="283"/>
              <w:jc w:val="left"/>
              <w:rPr>
                <w:caps w:val="false"/>
                <w:smallCaps w:val="false"/>
              </w:rPr>
            </w:pPr>
            <w:r>
              <w:rPr>
                <w:caps w:val="false"/>
                <w:smallCaps w:val="false"/>
              </w:rPr>
              <w:t> </w:t>
            </w:r>
          </w:p>
        </w:tc>
        <w:tc>
          <w:tcPr>
            <w:tcW w:w="891"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119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90" w:type="dxa"/>
            <w:tcBorders/>
            <w:vAlign w:val="center"/>
          </w:tcPr>
          <w:p>
            <w:pPr>
              <w:pStyle w:val="TableContents"/>
              <w:bidi w:val="0"/>
              <w:spacing w:before="0" w:after="283"/>
              <w:jc w:val="left"/>
              <w:rPr>
                <w:caps w:val="false"/>
                <w:smallCaps w:val="false"/>
              </w:rPr>
            </w:pPr>
            <w:r>
              <w:rPr>
                <w:caps w:val="false"/>
                <w:smallCaps w:val="false"/>
              </w:rPr>
              <w:t> </w:t>
            </w:r>
          </w:p>
        </w:tc>
        <w:tc>
          <w:tcPr>
            <w:tcW w:w="867"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412</w:t>
            </w:r>
          </w:p>
        </w:tc>
        <w:tc>
          <w:tcPr>
            <w:tcW w:w="158"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3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Issuance of common stock upon settlement of restricted stock units</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39,080</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(26</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(26</w:t>
            </w:r>
          </w:p>
        </w:tc>
        <w:tc>
          <w:tcPr>
            <w:tcW w:w="158"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r>
      <w:tr>
        <w:trPr/>
        <w:tc>
          <w:tcPr>
            <w:tcW w:w="13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Stock-based compensation - restricted stock units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51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98" w:type="dxa"/>
            <w:tcBorders/>
            <w:vAlign w:val="center"/>
          </w:tcPr>
          <w:p>
            <w:pPr>
              <w:pStyle w:val="TableContents"/>
              <w:bidi w:val="0"/>
              <w:spacing w:before="0" w:after="283"/>
              <w:jc w:val="left"/>
              <w:rPr>
                <w:caps w:val="false"/>
                <w:smallCaps w:val="false"/>
              </w:rPr>
            </w:pPr>
            <w:r>
              <w:rPr>
                <w:caps w:val="false"/>
                <w:smallCaps w:val="false"/>
              </w:rPr>
              <w:t> </w:t>
            </w:r>
          </w:p>
        </w:tc>
        <w:tc>
          <w:tcPr>
            <w:tcW w:w="497"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6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62" w:type="dxa"/>
            <w:tcBorders/>
            <w:vAlign w:val="center"/>
          </w:tcPr>
          <w:p>
            <w:pPr>
              <w:pStyle w:val="TableContents"/>
              <w:bidi w:val="0"/>
              <w:spacing w:before="0" w:after="283"/>
              <w:jc w:val="left"/>
              <w:rPr>
                <w:caps w:val="false"/>
                <w:smallCaps w:val="false"/>
              </w:rPr>
            </w:pPr>
            <w:r>
              <w:rPr>
                <w:caps w:val="false"/>
                <w:smallCaps w:val="false"/>
              </w:rPr>
              <w:t> </w:t>
            </w:r>
          </w:p>
        </w:tc>
        <w:tc>
          <w:tcPr>
            <w:tcW w:w="433"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8" w:type="dxa"/>
            <w:tcBorders/>
            <w:vAlign w:val="center"/>
          </w:tcPr>
          <w:p>
            <w:pPr>
              <w:pStyle w:val="TableContents"/>
              <w:bidi w:val="0"/>
              <w:spacing w:before="0" w:after="283"/>
              <w:jc w:val="left"/>
              <w:rPr>
                <w:caps w:val="false"/>
                <w:smallCaps w:val="false"/>
              </w:rPr>
            </w:pPr>
            <w:r>
              <w:rPr>
                <w:caps w:val="false"/>
                <w:smallCaps w:val="false"/>
              </w:rPr>
              <w:t> </w:t>
            </w:r>
          </w:p>
        </w:tc>
        <w:tc>
          <w:tcPr>
            <w:tcW w:w="718"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294</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79" w:type="dxa"/>
            <w:tcBorders/>
            <w:vAlign w:val="center"/>
          </w:tcPr>
          <w:p>
            <w:pPr>
              <w:pStyle w:val="TableContents"/>
              <w:bidi w:val="0"/>
              <w:spacing w:before="0" w:after="283"/>
              <w:jc w:val="left"/>
              <w:rPr>
                <w:caps w:val="false"/>
                <w:smallCaps w:val="false"/>
              </w:rPr>
            </w:pPr>
            <w:r>
              <w:rPr>
                <w:caps w:val="false"/>
                <w:smallCaps w:val="false"/>
              </w:rPr>
              <w:t> </w:t>
            </w:r>
          </w:p>
        </w:tc>
        <w:tc>
          <w:tcPr>
            <w:tcW w:w="891"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119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90" w:type="dxa"/>
            <w:tcBorders/>
            <w:vAlign w:val="center"/>
          </w:tcPr>
          <w:p>
            <w:pPr>
              <w:pStyle w:val="TableContents"/>
              <w:bidi w:val="0"/>
              <w:spacing w:before="0" w:after="283"/>
              <w:jc w:val="left"/>
              <w:rPr>
                <w:caps w:val="false"/>
                <w:smallCaps w:val="false"/>
              </w:rPr>
            </w:pPr>
            <w:r>
              <w:rPr>
                <w:caps w:val="false"/>
                <w:smallCaps w:val="false"/>
              </w:rPr>
              <w:t> </w:t>
            </w:r>
          </w:p>
        </w:tc>
        <w:tc>
          <w:tcPr>
            <w:tcW w:w="867"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294</w:t>
            </w:r>
          </w:p>
        </w:tc>
        <w:tc>
          <w:tcPr>
            <w:tcW w:w="158"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3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Stock-based compensation - stock options</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1,090</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1,090</w:t>
            </w:r>
          </w:p>
        </w:tc>
        <w:tc>
          <w:tcPr>
            <w:tcW w:w="158"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3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Unrealized gain (loss) on marketable debt securities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51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98" w:type="dxa"/>
            <w:tcBorders/>
            <w:vAlign w:val="center"/>
          </w:tcPr>
          <w:p>
            <w:pPr>
              <w:pStyle w:val="TableContents"/>
              <w:bidi w:val="0"/>
              <w:spacing w:before="0" w:after="283"/>
              <w:jc w:val="left"/>
              <w:rPr>
                <w:caps w:val="false"/>
                <w:smallCaps w:val="false"/>
              </w:rPr>
            </w:pPr>
            <w:r>
              <w:rPr>
                <w:caps w:val="false"/>
                <w:smallCaps w:val="false"/>
              </w:rPr>
              <w:t> </w:t>
            </w:r>
          </w:p>
        </w:tc>
        <w:tc>
          <w:tcPr>
            <w:tcW w:w="497"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6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62" w:type="dxa"/>
            <w:tcBorders/>
            <w:vAlign w:val="center"/>
          </w:tcPr>
          <w:p>
            <w:pPr>
              <w:pStyle w:val="TableContents"/>
              <w:bidi w:val="0"/>
              <w:spacing w:before="0" w:after="283"/>
              <w:jc w:val="left"/>
              <w:rPr>
                <w:caps w:val="false"/>
                <w:smallCaps w:val="false"/>
              </w:rPr>
            </w:pPr>
            <w:r>
              <w:rPr>
                <w:caps w:val="false"/>
                <w:smallCaps w:val="false"/>
              </w:rPr>
              <w:t> </w:t>
            </w:r>
          </w:p>
        </w:tc>
        <w:tc>
          <w:tcPr>
            <w:tcW w:w="433"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8" w:type="dxa"/>
            <w:tcBorders/>
            <w:vAlign w:val="center"/>
          </w:tcPr>
          <w:p>
            <w:pPr>
              <w:pStyle w:val="TableContents"/>
              <w:bidi w:val="0"/>
              <w:spacing w:before="0" w:after="283"/>
              <w:jc w:val="left"/>
              <w:rPr>
                <w:caps w:val="false"/>
                <w:smallCaps w:val="false"/>
              </w:rPr>
            </w:pPr>
            <w:r>
              <w:rPr>
                <w:caps w:val="false"/>
                <w:smallCaps w:val="false"/>
              </w:rPr>
              <w:t> </w:t>
            </w:r>
          </w:p>
        </w:tc>
        <w:tc>
          <w:tcPr>
            <w:tcW w:w="718"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79" w:type="dxa"/>
            <w:tcBorders/>
            <w:vAlign w:val="center"/>
          </w:tcPr>
          <w:p>
            <w:pPr>
              <w:pStyle w:val="TableContents"/>
              <w:bidi w:val="0"/>
              <w:spacing w:before="0" w:after="283"/>
              <w:jc w:val="left"/>
              <w:rPr>
                <w:caps w:val="false"/>
                <w:smallCaps w:val="false"/>
              </w:rPr>
            </w:pPr>
            <w:r>
              <w:rPr>
                <w:caps w:val="false"/>
                <w:smallCaps w:val="false"/>
              </w:rPr>
              <w:t> </w:t>
            </w:r>
          </w:p>
        </w:tc>
        <w:tc>
          <w:tcPr>
            <w:tcW w:w="891"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119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90" w:type="dxa"/>
            <w:tcBorders/>
            <w:vAlign w:val="center"/>
          </w:tcPr>
          <w:p>
            <w:pPr>
              <w:pStyle w:val="TableContents"/>
              <w:bidi w:val="0"/>
              <w:spacing w:before="0" w:after="283"/>
              <w:jc w:val="left"/>
              <w:rPr>
                <w:caps w:val="false"/>
                <w:smallCaps w:val="false"/>
              </w:rPr>
            </w:pPr>
            <w:r>
              <w:rPr>
                <w:caps w:val="false"/>
                <w:smallCaps w:val="false"/>
              </w:rPr>
              <w:t> </w:t>
            </w:r>
          </w:p>
        </w:tc>
        <w:tc>
          <w:tcPr>
            <w:tcW w:w="867"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w:t>
            </w:r>
          </w:p>
        </w:tc>
        <w:tc>
          <w:tcPr>
            <w:tcW w:w="158"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3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Net income (loss)</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9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2"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33"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1"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(21,668</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9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(21,668</w:t>
            </w:r>
          </w:p>
        </w:tc>
        <w:tc>
          <w:tcPr>
            <w:tcW w:w="158"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r>
      <w:tr>
        <w:trPr/>
        <w:tc>
          <w:tcPr>
            <w:tcW w:w="1339" w:type="dxa"/>
            <w:tcBorders/>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Balance at June 30, 2026</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bottom w:val="double" w:sz="10"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5"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872</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98"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497"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bottom w:val="double" w:sz="10"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59,083,935</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62"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433"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59</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8"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718"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503,484</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79"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891"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(341,869</w:t>
            </w:r>
          </w:p>
        </w:tc>
        <w:tc>
          <w:tcPr>
            <w:tcW w:w="1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19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(363</w:t>
            </w:r>
          </w:p>
        </w:tc>
        <w:tc>
          <w:tcPr>
            <w:tcW w:w="1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90"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867"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161,311</w:t>
            </w:r>
          </w:p>
        </w:tc>
        <w:tc>
          <w:tcPr>
            <w:tcW w:w="158"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ind w:left="0" w:right="0" w:firstLine="36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PROTARA THERAPEUTICS,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a_006"/>
      <w:bookmarkEnd w:id="7"/>
      <w:r>
        <w:rPr>
          <w:rFonts w:ascii="Times New Roman;Times;Serif" w:hAnsi="Times New Roman;Times;Serif"/>
          <w:b/>
          <w:i w:val="false"/>
          <w:caps w:val="false"/>
          <w:smallCaps w:val="false"/>
          <w:sz w:val="20"/>
        </w:rPr>
        <w:t>Condensed Consolidated Statements of Cash Flows (Unaudited)</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thousands)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391"/>
        <w:gridCol w:w="90"/>
        <w:gridCol w:w="194"/>
        <w:gridCol w:w="897"/>
        <w:gridCol w:w="142"/>
        <w:gridCol w:w="102"/>
        <w:gridCol w:w="194"/>
        <w:gridCol w:w="1034"/>
        <w:gridCol w:w="161"/>
      </w:tblGrid>
      <w:tr>
        <w:trPr/>
        <w:tc>
          <w:tcPr>
            <w:tcW w:w="7391"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56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Six Months Ended</w:t>
              <w:br/>
              <w:t>June 30,</w:t>
            </w:r>
          </w:p>
        </w:tc>
        <w:tc>
          <w:tcPr>
            <w:tcW w:w="161" w:type="dxa"/>
            <w:tcBorders/>
            <w:vAlign w:val="center"/>
          </w:tcPr>
          <w:p>
            <w:pPr>
              <w:pStyle w:val="TableContents"/>
              <w:bidi w:val="0"/>
              <w:spacing w:before="0" w:after="283"/>
              <w:jc w:val="left"/>
              <w:rPr/>
            </w:pPr>
            <w:r>
              <w:rPr/>
              <w:t> </w:t>
            </w:r>
          </w:p>
        </w:tc>
      </w:tr>
      <w:tr>
        <w:trPr/>
        <w:tc>
          <w:tcPr>
            <w:tcW w:w="7391"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09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4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22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61" w:type="dxa"/>
            <w:tcBorders/>
            <w:vAlign w:val="center"/>
          </w:tcPr>
          <w:p>
            <w:pPr>
              <w:pStyle w:val="TableContents"/>
              <w:bidi w:val="0"/>
              <w:spacing w:before="0" w:after="283"/>
              <w:jc w:val="left"/>
              <w:rPr/>
            </w:pPr>
            <w:r>
              <w:rPr/>
              <w:t> </w:t>
            </w:r>
          </w:p>
        </w:tc>
      </w:tr>
      <w:tr>
        <w:trPr/>
        <w:tc>
          <w:tcPr>
            <w:tcW w:w="7391" w:type="dxa"/>
            <w:tcBorders/>
            <w:vAlign w:val="center"/>
          </w:tcPr>
          <w:p>
            <w:pPr>
              <w:pStyle w:val="TableContents"/>
              <w:bidi w:val="0"/>
              <w:spacing w:before="0" w:after="283"/>
              <w:jc w:val="left"/>
              <w:rPr>
                <w:b/>
              </w:rPr>
            </w:pPr>
            <w:r>
              <w:rPr>
                <w:b/>
              </w:rPr>
              <w:t>Cash flows from operating activities:</w:t>
            </w:r>
          </w:p>
        </w:tc>
        <w:tc>
          <w:tcPr>
            <w:tcW w:w="90" w:type="dxa"/>
            <w:tcBorders/>
            <w:vAlign w:val="center"/>
          </w:tcPr>
          <w:p>
            <w:pPr>
              <w:pStyle w:val="TableContents"/>
              <w:bidi w:val="0"/>
              <w:spacing w:before="0" w:after="283"/>
              <w:jc w:val="left"/>
              <w:rPr/>
            </w:pPr>
            <w:r>
              <w:rPr/>
              <w:t> </w:t>
            </w:r>
          </w:p>
        </w:tc>
        <w:tc>
          <w:tcPr>
            <w:tcW w:w="1091" w:type="dxa"/>
            <w:gridSpan w:val="2"/>
            <w:tcBorders/>
            <w:vAlign w:val="center"/>
          </w:tcPr>
          <w:p>
            <w:pPr>
              <w:pStyle w:val="TableContents"/>
              <w:bidi w:val="0"/>
              <w:spacing w:before="0" w:after="283"/>
              <w:jc w:val="right"/>
              <w:rPr/>
            </w:pPr>
            <w:r>
              <w:rPr/>
              <w:t> </w:t>
            </w:r>
          </w:p>
        </w:tc>
        <w:tc>
          <w:tcPr>
            <w:tcW w:w="14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228" w:type="dxa"/>
            <w:gridSpan w:val="2"/>
            <w:tcBorders/>
            <w:vAlign w:val="center"/>
          </w:tcPr>
          <w:p>
            <w:pPr>
              <w:pStyle w:val="TableContents"/>
              <w:bidi w:val="0"/>
              <w:spacing w:before="0" w:after="283"/>
              <w:jc w:val="right"/>
              <w:rPr/>
            </w:pPr>
            <w:r>
              <w:rPr/>
              <w:t> </w:t>
            </w:r>
          </w:p>
        </w:tc>
        <w:tc>
          <w:tcPr>
            <w:tcW w:w="161" w:type="dxa"/>
            <w:tcBorders/>
            <w:vAlign w:val="center"/>
          </w:tcPr>
          <w:p>
            <w:pPr>
              <w:pStyle w:val="TableContents"/>
              <w:bidi w:val="0"/>
              <w:spacing w:before="0" w:after="283"/>
              <w:ind w:left="0" w:right="0" w:hanging="360"/>
              <w:jc w:val="left"/>
              <w:rPr/>
            </w:pPr>
            <w:r>
              <w:rPr/>
              <w:t> </w:t>
            </w:r>
          </w:p>
        </w:tc>
      </w:tr>
      <w:tr>
        <w:trPr/>
        <w:tc>
          <w:tcPr>
            <w:tcW w:w="7391" w:type="dxa"/>
            <w:tcBorders/>
            <w:shd w:fill="CCEEFF" w:val="clear"/>
            <w:vAlign w:val="center"/>
          </w:tcPr>
          <w:p>
            <w:pPr>
              <w:pStyle w:val="TableContents"/>
              <w:bidi w:val="0"/>
              <w:spacing w:before="0" w:after="283"/>
              <w:jc w:val="left"/>
              <w:rPr/>
            </w:pPr>
            <w:r>
              <w:rPr/>
              <w:t>Net income (loss)</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w:t>
            </w:r>
          </w:p>
        </w:tc>
        <w:tc>
          <w:tcPr>
            <w:tcW w:w="897" w:type="dxa"/>
            <w:tcBorders/>
            <w:shd w:fill="CCEEFF" w:val="clear"/>
            <w:vAlign w:val="center"/>
          </w:tcPr>
          <w:p>
            <w:pPr>
              <w:pStyle w:val="TableContents"/>
              <w:bidi w:val="0"/>
              <w:spacing w:before="0" w:after="283"/>
              <w:jc w:val="right"/>
              <w:rPr/>
            </w:pPr>
            <w:r>
              <w:rPr/>
              <w:t>(39,450</w:t>
            </w:r>
          </w:p>
        </w:tc>
        <w:tc>
          <w:tcPr>
            <w:tcW w:w="142" w:type="dxa"/>
            <w:tcBorders/>
            <w:shd w:fill="CCEEFF" w:val="clear"/>
            <w:vAlign w:val="center"/>
          </w:tcPr>
          <w:p>
            <w:pPr>
              <w:pStyle w:val="TableContents"/>
              <w:bidi w:val="0"/>
              <w:spacing w:before="0" w:after="283"/>
              <w:jc w:val="left"/>
              <w:rPr/>
            </w:pPr>
            <w:r>
              <w:rPr/>
              <w:t>)</w:t>
            </w:r>
          </w:p>
        </w:tc>
        <w:tc>
          <w:tcPr>
            <w:tcW w:w="102"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w:t>
            </w:r>
          </w:p>
        </w:tc>
        <w:tc>
          <w:tcPr>
            <w:tcW w:w="1034" w:type="dxa"/>
            <w:tcBorders/>
            <w:shd w:fill="CCEEFF" w:val="clear"/>
            <w:vAlign w:val="center"/>
          </w:tcPr>
          <w:p>
            <w:pPr>
              <w:pStyle w:val="TableContents"/>
              <w:bidi w:val="0"/>
              <w:spacing w:before="0" w:after="283"/>
              <w:jc w:val="right"/>
              <w:rPr/>
            </w:pPr>
            <w:r>
              <w:rPr/>
              <w:t>(26,874</w:t>
            </w:r>
          </w:p>
        </w:tc>
        <w:tc>
          <w:tcPr>
            <w:tcW w:w="161" w:type="dxa"/>
            <w:tcBorders/>
            <w:shd w:fill="CCEEFF" w:val="clear"/>
            <w:vAlign w:val="center"/>
          </w:tcPr>
          <w:p>
            <w:pPr>
              <w:pStyle w:val="TableContents"/>
              <w:bidi w:val="0"/>
              <w:spacing w:before="0" w:after="283"/>
              <w:ind w:left="0" w:right="0" w:hanging="360"/>
              <w:jc w:val="left"/>
              <w:rPr/>
            </w:pPr>
            <w:r>
              <w:rPr/>
              <w:t>)</w:t>
            </w:r>
          </w:p>
        </w:tc>
      </w:tr>
      <w:tr>
        <w:trPr/>
        <w:tc>
          <w:tcPr>
            <w:tcW w:w="7391" w:type="dxa"/>
            <w:tcBorders/>
            <w:vAlign w:val="center"/>
          </w:tcPr>
          <w:p>
            <w:pPr>
              <w:pStyle w:val="TableContents"/>
              <w:bidi w:val="0"/>
              <w:spacing w:before="0" w:after="283"/>
              <w:jc w:val="left"/>
              <w:rPr/>
            </w:pPr>
            <w:r>
              <w:rPr/>
              <w:t>Adjustments to reconcile net income (loss) to net cash used in operating activities:</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897" w:type="dxa"/>
            <w:tcBorders/>
            <w:vAlign w:val="center"/>
          </w:tcPr>
          <w:p>
            <w:pPr>
              <w:pStyle w:val="TableContents"/>
              <w:bidi w:val="0"/>
              <w:spacing w:before="0" w:after="283"/>
              <w:jc w:val="right"/>
              <w:rPr/>
            </w:pPr>
            <w:r>
              <w:rPr/>
              <w:t> </w:t>
            </w:r>
          </w:p>
        </w:tc>
        <w:tc>
          <w:tcPr>
            <w:tcW w:w="14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1034" w:type="dxa"/>
            <w:tcBorders/>
            <w:vAlign w:val="center"/>
          </w:tcPr>
          <w:p>
            <w:pPr>
              <w:pStyle w:val="TableContents"/>
              <w:bidi w:val="0"/>
              <w:spacing w:before="0" w:after="283"/>
              <w:jc w:val="right"/>
              <w:rPr/>
            </w:pPr>
            <w:r>
              <w:rPr/>
              <w:t> </w:t>
            </w:r>
          </w:p>
        </w:tc>
        <w:tc>
          <w:tcPr>
            <w:tcW w:w="161" w:type="dxa"/>
            <w:tcBorders/>
            <w:vAlign w:val="center"/>
          </w:tcPr>
          <w:p>
            <w:pPr>
              <w:pStyle w:val="TableContents"/>
              <w:bidi w:val="0"/>
              <w:spacing w:before="0" w:after="283"/>
              <w:ind w:left="0" w:right="0" w:hanging="360"/>
              <w:jc w:val="left"/>
              <w:rPr/>
            </w:pPr>
            <w:r>
              <w:rPr/>
              <w:t> </w:t>
            </w:r>
          </w:p>
        </w:tc>
      </w:tr>
      <w:tr>
        <w:trPr/>
        <w:tc>
          <w:tcPr>
            <w:tcW w:w="7391" w:type="dxa"/>
            <w:tcBorders/>
            <w:shd w:fill="CCEEFF" w:val="clear"/>
            <w:vAlign w:val="center"/>
          </w:tcPr>
          <w:p>
            <w:pPr>
              <w:pStyle w:val="TableContents"/>
              <w:bidi w:val="0"/>
              <w:spacing w:before="0" w:after="283"/>
              <w:jc w:val="left"/>
              <w:rPr/>
            </w:pPr>
            <w:r>
              <w:rPr/>
              <w:t>Stock-based compensation</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2,746</w:t>
            </w:r>
          </w:p>
        </w:tc>
        <w:tc>
          <w:tcPr>
            <w:tcW w:w="14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pPr>
            <w:r>
              <w:rPr/>
              <w:t>1,736</w:t>
            </w:r>
          </w:p>
        </w:tc>
        <w:tc>
          <w:tcPr>
            <w:tcW w:w="161" w:type="dxa"/>
            <w:tcBorders/>
            <w:shd w:fill="CCEEFF" w:val="clear"/>
            <w:vAlign w:val="center"/>
          </w:tcPr>
          <w:p>
            <w:pPr>
              <w:pStyle w:val="TableContents"/>
              <w:bidi w:val="0"/>
              <w:spacing w:before="0" w:after="283"/>
              <w:ind w:left="0" w:right="0" w:hanging="360"/>
              <w:jc w:val="left"/>
              <w:rPr/>
            </w:pPr>
            <w:r>
              <w:rPr/>
              <w:t> </w:t>
            </w:r>
          </w:p>
        </w:tc>
      </w:tr>
      <w:tr>
        <w:trPr/>
        <w:tc>
          <w:tcPr>
            <w:tcW w:w="7391" w:type="dxa"/>
            <w:tcBorders/>
            <w:vAlign w:val="center"/>
          </w:tcPr>
          <w:p>
            <w:pPr>
              <w:pStyle w:val="TableContents"/>
              <w:bidi w:val="0"/>
              <w:spacing w:before="0" w:after="283"/>
              <w:jc w:val="left"/>
              <w:rPr/>
            </w:pPr>
            <w:r>
              <w:rPr/>
              <w:t>Operating lease right-of-use asset</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897" w:type="dxa"/>
            <w:tcBorders/>
            <w:vAlign w:val="center"/>
          </w:tcPr>
          <w:p>
            <w:pPr>
              <w:pStyle w:val="TableContents"/>
              <w:bidi w:val="0"/>
              <w:spacing w:before="0" w:after="283"/>
              <w:jc w:val="right"/>
              <w:rPr/>
            </w:pPr>
            <w:r>
              <w:rPr/>
              <w:t>572</w:t>
            </w:r>
          </w:p>
        </w:tc>
        <w:tc>
          <w:tcPr>
            <w:tcW w:w="14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1034" w:type="dxa"/>
            <w:tcBorders/>
            <w:vAlign w:val="center"/>
          </w:tcPr>
          <w:p>
            <w:pPr>
              <w:pStyle w:val="TableContents"/>
              <w:bidi w:val="0"/>
              <w:spacing w:before="0" w:after="283"/>
              <w:jc w:val="right"/>
              <w:rPr/>
            </w:pPr>
            <w:r>
              <w:rPr/>
              <w:t>530</w:t>
            </w:r>
          </w:p>
        </w:tc>
        <w:tc>
          <w:tcPr>
            <w:tcW w:w="161" w:type="dxa"/>
            <w:tcBorders/>
            <w:vAlign w:val="center"/>
          </w:tcPr>
          <w:p>
            <w:pPr>
              <w:pStyle w:val="TableContents"/>
              <w:bidi w:val="0"/>
              <w:spacing w:before="0" w:after="283"/>
              <w:ind w:left="0" w:right="0" w:hanging="360"/>
              <w:jc w:val="left"/>
              <w:rPr/>
            </w:pPr>
            <w:r>
              <w:rPr/>
              <w:t> </w:t>
            </w:r>
          </w:p>
        </w:tc>
      </w:tr>
      <w:tr>
        <w:trPr/>
        <w:tc>
          <w:tcPr>
            <w:tcW w:w="7391" w:type="dxa"/>
            <w:tcBorders/>
            <w:shd w:fill="CCEEFF" w:val="clear"/>
            <w:vAlign w:val="center"/>
          </w:tcPr>
          <w:p>
            <w:pPr>
              <w:pStyle w:val="TableContents"/>
              <w:bidi w:val="0"/>
              <w:spacing w:before="0" w:after="283"/>
              <w:jc w:val="left"/>
              <w:rPr/>
            </w:pPr>
            <w:r>
              <w:rPr/>
              <w:t>Depreciation</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162</w:t>
            </w:r>
          </w:p>
        </w:tc>
        <w:tc>
          <w:tcPr>
            <w:tcW w:w="14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pPr>
            <w:r>
              <w:rPr/>
              <w:t>181</w:t>
            </w:r>
          </w:p>
        </w:tc>
        <w:tc>
          <w:tcPr>
            <w:tcW w:w="161" w:type="dxa"/>
            <w:tcBorders/>
            <w:shd w:fill="CCEEFF" w:val="clear"/>
            <w:vAlign w:val="center"/>
          </w:tcPr>
          <w:p>
            <w:pPr>
              <w:pStyle w:val="TableContents"/>
              <w:bidi w:val="0"/>
              <w:spacing w:before="0" w:after="283"/>
              <w:ind w:left="0" w:right="0" w:hanging="360"/>
              <w:jc w:val="left"/>
              <w:rPr/>
            </w:pPr>
            <w:r>
              <w:rPr/>
              <w:t> </w:t>
            </w:r>
          </w:p>
        </w:tc>
      </w:tr>
      <w:tr>
        <w:trPr/>
        <w:tc>
          <w:tcPr>
            <w:tcW w:w="7391" w:type="dxa"/>
            <w:tcBorders/>
            <w:vAlign w:val="center"/>
          </w:tcPr>
          <w:p>
            <w:pPr>
              <w:pStyle w:val="TableContents"/>
              <w:bidi w:val="0"/>
              <w:spacing w:before="0" w:after="283"/>
              <w:jc w:val="left"/>
              <w:rPr/>
            </w:pPr>
            <w:r>
              <w:rPr/>
              <w:t>Amortization of premium (Accretion of discount) on marketable debt securities</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897" w:type="dxa"/>
            <w:tcBorders/>
            <w:vAlign w:val="center"/>
          </w:tcPr>
          <w:p>
            <w:pPr>
              <w:pStyle w:val="TableContents"/>
              <w:bidi w:val="0"/>
              <w:spacing w:before="0" w:after="283"/>
              <w:jc w:val="right"/>
              <w:rPr/>
            </w:pPr>
            <w:r>
              <w:rPr/>
              <w:t>(359</w:t>
            </w:r>
          </w:p>
        </w:tc>
        <w:tc>
          <w:tcPr>
            <w:tcW w:w="142" w:type="dxa"/>
            <w:tcBorders/>
            <w:vAlign w:val="center"/>
          </w:tcPr>
          <w:p>
            <w:pPr>
              <w:pStyle w:val="TableContents"/>
              <w:bidi w:val="0"/>
              <w:spacing w:before="0" w:after="283"/>
              <w:jc w:val="left"/>
              <w:rPr/>
            </w:pPr>
            <w:r>
              <w:rPr/>
              <w:t>)</w:t>
            </w:r>
          </w:p>
        </w:tc>
        <w:tc>
          <w:tcPr>
            <w:tcW w:w="102"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1034" w:type="dxa"/>
            <w:tcBorders/>
            <w:vAlign w:val="center"/>
          </w:tcPr>
          <w:p>
            <w:pPr>
              <w:pStyle w:val="TableContents"/>
              <w:bidi w:val="0"/>
              <w:spacing w:before="0" w:after="283"/>
              <w:jc w:val="right"/>
              <w:rPr/>
            </w:pPr>
            <w:r>
              <w:rPr/>
              <w:t>(532</w:t>
            </w:r>
          </w:p>
        </w:tc>
        <w:tc>
          <w:tcPr>
            <w:tcW w:w="161" w:type="dxa"/>
            <w:tcBorders/>
            <w:vAlign w:val="center"/>
          </w:tcPr>
          <w:p>
            <w:pPr>
              <w:pStyle w:val="TableContents"/>
              <w:bidi w:val="0"/>
              <w:spacing w:before="0" w:after="283"/>
              <w:ind w:left="0" w:right="0" w:hanging="360"/>
              <w:jc w:val="left"/>
              <w:rPr/>
            </w:pPr>
            <w:r>
              <w:rPr/>
              <w:t>)</w:t>
            </w:r>
          </w:p>
        </w:tc>
      </w:tr>
      <w:tr>
        <w:trPr/>
        <w:tc>
          <w:tcPr>
            <w:tcW w:w="7391" w:type="dxa"/>
            <w:tcBorders/>
            <w:shd w:fill="CCEEFF" w:val="clear"/>
            <w:vAlign w:val="center"/>
          </w:tcPr>
          <w:p>
            <w:pPr>
              <w:pStyle w:val="TableContents"/>
              <w:bidi w:val="0"/>
              <w:spacing w:before="0" w:after="283"/>
              <w:jc w:val="left"/>
              <w:rPr/>
            </w:pPr>
            <w:r>
              <w:rPr/>
              <w:t>Changes in operating assets and liabilities:</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 </w:t>
            </w:r>
          </w:p>
        </w:tc>
        <w:tc>
          <w:tcPr>
            <w:tcW w:w="14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pPr>
            <w:r>
              <w:rPr/>
              <w:t> </w:t>
            </w:r>
          </w:p>
        </w:tc>
        <w:tc>
          <w:tcPr>
            <w:tcW w:w="161" w:type="dxa"/>
            <w:tcBorders/>
            <w:shd w:fill="CCEEFF" w:val="clear"/>
            <w:vAlign w:val="center"/>
          </w:tcPr>
          <w:p>
            <w:pPr>
              <w:pStyle w:val="TableContents"/>
              <w:bidi w:val="0"/>
              <w:spacing w:before="0" w:after="283"/>
              <w:ind w:left="0" w:right="0" w:hanging="360"/>
              <w:jc w:val="left"/>
              <w:rPr/>
            </w:pPr>
            <w:r>
              <w:rPr/>
              <w:t> </w:t>
            </w:r>
          </w:p>
        </w:tc>
      </w:tr>
      <w:tr>
        <w:trPr/>
        <w:tc>
          <w:tcPr>
            <w:tcW w:w="7391" w:type="dxa"/>
            <w:tcBorders/>
            <w:vAlign w:val="center"/>
          </w:tcPr>
          <w:p>
            <w:pPr>
              <w:pStyle w:val="TableContents"/>
              <w:bidi w:val="0"/>
              <w:spacing w:before="0" w:after="283"/>
              <w:jc w:val="left"/>
              <w:rPr/>
            </w:pPr>
            <w:r>
              <w:rPr/>
              <w:t>Prepaid expenses and other current assets</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897" w:type="dxa"/>
            <w:tcBorders/>
            <w:vAlign w:val="center"/>
          </w:tcPr>
          <w:p>
            <w:pPr>
              <w:pStyle w:val="TableContents"/>
              <w:bidi w:val="0"/>
              <w:spacing w:before="0" w:after="283"/>
              <w:jc w:val="right"/>
              <w:rPr/>
            </w:pPr>
            <w:r>
              <w:rPr/>
              <w:t>704</w:t>
            </w:r>
          </w:p>
        </w:tc>
        <w:tc>
          <w:tcPr>
            <w:tcW w:w="14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1034" w:type="dxa"/>
            <w:tcBorders/>
            <w:vAlign w:val="center"/>
          </w:tcPr>
          <w:p>
            <w:pPr>
              <w:pStyle w:val="TableContents"/>
              <w:bidi w:val="0"/>
              <w:spacing w:before="0" w:after="283"/>
              <w:jc w:val="right"/>
              <w:rPr/>
            </w:pPr>
            <w:r>
              <w:rPr/>
              <w:t>(1,012</w:t>
            </w:r>
          </w:p>
        </w:tc>
        <w:tc>
          <w:tcPr>
            <w:tcW w:w="161" w:type="dxa"/>
            <w:tcBorders/>
            <w:vAlign w:val="center"/>
          </w:tcPr>
          <w:p>
            <w:pPr>
              <w:pStyle w:val="TableContents"/>
              <w:bidi w:val="0"/>
              <w:spacing w:before="0" w:after="283"/>
              <w:ind w:left="0" w:right="0" w:hanging="360"/>
              <w:jc w:val="left"/>
              <w:rPr/>
            </w:pPr>
            <w:r>
              <w:rPr/>
              <w:t>)</w:t>
            </w:r>
          </w:p>
        </w:tc>
      </w:tr>
      <w:tr>
        <w:trPr/>
        <w:tc>
          <w:tcPr>
            <w:tcW w:w="7391" w:type="dxa"/>
            <w:tcBorders/>
            <w:shd w:fill="CCEEFF" w:val="clear"/>
            <w:vAlign w:val="center"/>
          </w:tcPr>
          <w:p>
            <w:pPr>
              <w:pStyle w:val="TableContents"/>
              <w:bidi w:val="0"/>
              <w:spacing w:before="0" w:after="283"/>
              <w:jc w:val="left"/>
              <w:rPr/>
            </w:pPr>
            <w:r>
              <w:rPr/>
              <w:t>Other assets</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(2,970</w:t>
            </w:r>
          </w:p>
        </w:tc>
        <w:tc>
          <w:tcPr>
            <w:tcW w:w="142" w:type="dxa"/>
            <w:tcBorders/>
            <w:shd w:fill="CCEEFF" w:val="clear"/>
            <w:vAlign w:val="center"/>
          </w:tcPr>
          <w:p>
            <w:pPr>
              <w:pStyle w:val="TableContents"/>
              <w:bidi w:val="0"/>
              <w:spacing w:before="0" w:after="283"/>
              <w:jc w:val="left"/>
              <w:rPr/>
            </w:pPr>
            <w:r>
              <w:rPr/>
              <w:t>)</w:t>
            </w:r>
          </w:p>
        </w:tc>
        <w:tc>
          <w:tcPr>
            <w:tcW w:w="102"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pPr>
            <w:r>
              <w:rPr/>
              <w:t>204</w:t>
            </w:r>
          </w:p>
        </w:tc>
        <w:tc>
          <w:tcPr>
            <w:tcW w:w="161" w:type="dxa"/>
            <w:tcBorders/>
            <w:shd w:fill="CCEEFF" w:val="clear"/>
            <w:vAlign w:val="center"/>
          </w:tcPr>
          <w:p>
            <w:pPr>
              <w:pStyle w:val="TableContents"/>
              <w:bidi w:val="0"/>
              <w:spacing w:before="0" w:after="283"/>
              <w:ind w:left="0" w:right="0" w:hanging="360"/>
              <w:jc w:val="left"/>
              <w:rPr/>
            </w:pPr>
            <w:r>
              <w:rPr/>
              <w:t> </w:t>
            </w:r>
          </w:p>
        </w:tc>
      </w:tr>
      <w:tr>
        <w:trPr/>
        <w:tc>
          <w:tcPr>
            <w:tcW w:w="7391" w:type="dxa"/>
            <w:tcBorders/>
            <w:vAlign w:val="center"/>
          </w:tcPr>
          <w:p>
            <w:pPr>
              <w:pStyle w:val="TableContents"/>
              <w:bidi w:val="0"/>
              <w:spacing w:before="0" w:after="283"/>
              <w:jc w:val="left"/>
              <w:rPr/>
            </w:pPr>
            <w:r>
              <w:rPr/>
              <w:t>Accounts payable</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897" w:type="dxa"/>
            <w:tcBorders/>
            <w:vAlign w:val="center"/>
          </w:tcPr>
          <w:p>
            <w:pPr>
              <w:pStyle w:val="TableContents"/>
              <w:bidi w:val="0"/>
              <w:spacing w:before="0" w:after="283"/>
              <w:jc w:val="right"/>
              <w:rPr/>
            </w:pPr>
            <w:r>
              <w:rPr/>
              <w:t>1,332</w:t>
            </w:r>
          </w:p>
        </w:tc>
        <w:tc>
          <w:tcPr>
            <w:tcW w:w="14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1034" w:type="dxa"/>
            <w:tcBorders/>
            <w:vAlign w:val="center"/>
          </w:tcPr>
          <w:p>
            <w:pPr>
              <w:pStyle w:val="TableContents"/>
              <w:bidi w:val="0"/>
              <w:spacing w:before="0" w:after="283"/>
              <w:jc w:val="right"/>
              <w:rPr/>
            </w:pPr>
            <w:r>
              <w:rPr/>
              <w:t>1,484</w:t>
            </w:r>
          </w:p>
        </w:tc>
        <w:tc>
          <w:tcPr>
            <w:tcW w:w="161" w:type="dxa"/>
            <w:tcBorders/>
            <w:vAlign w:val="center"/>
          </w:tcPr>
          <w:p>
            <w:pPr>
              <w:pStyle w:val="TableContents"/>
              <w:bidi w:val="0"/>
              <w:spacing w:before="0" w:after="283"/>
              <w:ind w:left="0" w:right="0" w:hanging="360"/>
              <w:jc w:val="left"/>
              <w:rPr/>
            </w:pPr>
            <w:r>
              <w:rPr/>
              <w:t> </w:t>
            </w:r>
          </w:p>
        </w:tc>
      </w:tr>
      <w:tr>
        <w:trPr/>
        <w:tc>
          <w:tcPr>
            <w:tcW w:w="7391" w:type="dxa"/>
            <w:tcBorders/>
            <w:shd w:fill="CCEEFF" w:val="clear"/>
            <w:vAlign w:val="center"/>
          </w:tcPr>
          <w:p>
            <w:pPr>
              <w:pStyle w:val="TableContents"/>
              <w:bidi w:val="0"/>
              <w:spacing w:before="0" w:after="283"/>
              <w:jc w:val="left"/>
              <w:rPr/>
            </w:pPr>
            <w:r>
              <w:rPr/>
              <w:t>Accrued expenses and other current liabilities</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1,141</w:t>
            </w:r>
          </w:p>
        </w:tc>
        <w:tc>
          <w:tcPr>
            <w:tcW w:w="14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pPr>
            <w:r>
              <w:rPr/>
              <w:t>(2,145</w:t>
            </w:r>
          </w:p>
        </w:tc>
        <w:tc>
          <w:tcPr>
            <w:tcW w:w="161" w:type="dxa"/>
            <w:tcBorders/>
            <w:shd w:fill="CCEEFF" w:val="clear"/>
            <w:vAlign w:val="center"/>
          </w:tcPr>
          <w:p>
            <w:pPr>
              <w:pStyle w:val="TableContents"/>
              <w:bidi w:val="0"/>
              <w:spacing w:before="0" w:after="283"/>
              <w:ind w:left="0" w:right="0" w:hanging="360"/>
              <w:jc w:val="left"/>
              <w:rPr/>
            </w:pPr>
            <w:r>
              <w:rPr/>
              <w:t>)</w:t>
            </w:r>
          </w:p>
        </w:tc>
      </w:tr>
      <w:tr>
        <w:trPr/>
        <w:tc>
          <w:tcPr>
            <w:tcW w:w="7391" w:type="dxa"/>
            <w:tcBorders/>
            <w:vAlign w:val="center"/>
          </w:tcPr>
          <w:p>
            <w:pPr>
              <w:pStyle w:val="TableContents"/>
              <w:bidi w:val="0"/>
              <w:spacing w:before="0" w:after="283"/>
              <w:jc w:val="left"/>
              <w:rPr/>
            </w:pPr>
            <w:r>
              <w:rPr/>
              <w:t>Operating lease liabilities</w:t>
            </w:r>
          </w:p>
        </w:tc>
        <w:tc>
          <w:tcPr>
            <w:tcW w:w="90" w:type="dxa"/>
            <w:tcBorders/>
            <w:vAlign w:val="center"/>
          </w:tcPr>
          <w:p>
            <w:pPr>
              <w:pStyle w:val="TableContents"/>
              <w:bidi w:val="0"/>
              <w:spacing w:before="0" w:after="283"/>
              <w:jc w:val="left"/>
              <w:rPr/>
            </w:pPr>
            <w:r>
              <w:rPr/>
              <w:t> </w:t>
            </w:r>
          </w:p>
        </w:tc>
        <w:tc>
          <w:tcPr>
            <w:tcW w:w="194" w:type="dxa"/>
            <w:tcBorders>
              <w:bottom w:val="single" w:sz="12" w:space="0" w:color="000000"/>
            </w:tcBorders>
            <w:tcMar>
              <w:bottom w:w="28" w:type="dxa"/>
            </w:tcMar>
            <w:vAlign w:val="center"/>
          </w:tcPr>
          <w:p>
            <w:pPr>
              <w:pStyle w:val="TableContents"/>
              <w:bidi w:val="0"/>
              <w:spacing w:before="0" w:after="283"/>
              <w:jc w:val="left"/>
              <w:rPr/>
            </w:pPr>
            <w:r>
              <w:rPr/>
              <w:t> </w:t>
            </w:r>
          </w:p>
        </w:tc>
        <w:tc>
          <w:tcPr>
            <w:tcW w:w="897" w:type="dxa"/>
            <w:tcBorders>
              <w:bottom w:val="single" w:sz="12" w:space="0" w:color="000000"/>
            </w:tcBorders>
            <w:tcMar>
              <w:bottom w:w="28" w:type="dxa"/>
            </w:tcMar>
            <w:vAlign w:val="center"/>
          </w:tcPr>
          <w:p>
            <w:pPr>
              <w:pStyle w:val="TableContents"/>
              <w:bidi w:val="0"/>
              <w:spacing w:before="0" w:after="283"/>
              <w:jc w:val="right"/>
              <w:rPr/>
            </w:pPr>
            <w:r>
              <w:rPr/>
              <w:t>(610</w:t>
            </w:r>
          </w:p>
        </w:tc>
        <w:tc>
          <w:tcPr>
            <w:tcW w:w="142" w:type="dxa"/>
            <w:tcBorders/>
            <w:vAlign w:val="center"/>
          </w:tcPr>
          <w:p>
            <w:pPr>
              <w:pStyle w:val="TableContents"/>
              <w:bidi w:val="0"/>
              <w:spacing w:before="0" w:after="283"/>
              <w:jc w:val="left"/>
              <w:rPr/>
            </w:pPr>
            <w:r>
              <w:rPr/>
              <w:t>)</w:t>
            </w:r>
          </w:p>
        </w:tc>
        <w:tc>
          <w:tcPr>
            <w:tcW w:w="102" w:type="dxa"/>
            <w:tcBorders/>
            <w:vAlign w:val="center"/>
          </w:tcPr>
          <w:p>
            <w:pPr>
              <w:pStyle w:val="TableContents"/>
              <w:bidi w:val="0"/>
              <w:spacing w:before="0" w:after="283"/>
              <w:jc w:val="left"/>
              <w:rPr/>
            </w:pPr>
            <w:r>
              <w:rPr/>
              <w:t> </w:t>
            </w:r>
          </w:p>
        </w:tc>
        <w:tc>
          <w:tcPr>
            <w:tcW w:w="194" w:type="dxa"/>
            <w:tcBorders>
              <w:bottom w:val="single" w:sz="12" w:space="0" w:color="000000"/>
            </w:tcBorders>
            <w:tcMar>
              <w:bottom w:w="28" w:type="dxa"/>
            </w:tcMar>
            <w:vAlign w:val="center"/>
          </w:tcPr>
          <w:p>
            <w:pPr>
              <w:pStyle w:val="TableContents"/>
              <w:bidi w:val="0"/>
              <w:spacing w:before="0" w:after="283"/>
              <w:jc w:val="left"/>
              <w:rPr/>
            </w:pPr>
            <w:r>
              <w:rPr/>
              <w:t> </w:t>
            </w:r>
          </w:p>
        </w:tc>
        <w:tc>
          <w:tcPr>
            <w:tcW w:w="1034" w:type="dxa"/>
            <w:tcBorders>
              <w:bottom w:val="single" w:sz="12" w:space="0" w:color="000000"/>
            </w:tcBorders>
            <w:tcMar>
              <w:bottom w:w="28" w:type="dxa"/>
            </w:tcMar>
            <w:vAlign w:val="center"/>
          </w:tcPr>
          <w:p>
            <w:pPr>
              <w:pStyle w:val="TableContents"/>
              <w:bidi w:val="0"/>
              <w:spacing w:before="0" w:after="283"/>
              <w:jc w:val="right"/>
              <w:rPr/>
            </w:pPr>
            <w:r>
              <w:rPr/>
              <w:t>(535</w:t>
            </w:r>
          </w:p>
        </w:tc>
        <w:tc>
          <w:tcPr>
            <w:tcW w:w="161" w:type="dxa"/>
            <w:tcBorders/>
            <w:vAlign w:val="center"/>
          </w:tcPr>
          <w:p>
            <w:pPr>
              <w:pStyle w:val="TableContents"/>
              <w:bidi w:val="0"/>
              <w:spacing w:before="0" w:after="283"/>
              <w:ind w:left="0" w:right="0" w:hanging="360"/>
              <w:jc w:val="left"/>
              <w:rPr/>
            </w:pPr>
            <w:r>
              <w:rPr/>
              <w:t>)</w:t>
            </w:r>
          </w:p>
        </w:tc>
      </w:tr>
      <w:tr>
        <w:trPr/>
        <w:tc>
          <w:tcPr>
            <w:tcW w:w="7391" w:type="dxa"/>
            <w:tcBorders/>
            <w:shd w:fill="CCEEFF" w:val="clear"/>
            <w:vAlign w:val="center"/>
          </w:tcPr>
          <w:p>
            <w:pPr>
              <w:pStyle w:val="TableContents"/>
              <w:bidi w:val="0"/>
              <w:spacing w:before="0" w:after="283"/>
              <w:jc w:val="left"/>
              <w:rPr/>
            </w:pPr>
            <w:r>
              <w:rPr/>
              <w:t>Net cash provided by (used in) operating activities</w:t>
            </w:r>
          </w:p>
        </w:tc>
        <w:tc>
          <w:tcPr>
            <w:tcW w:w="90" w:type="dxa"/>
            <w:tcBorders/>
            <w:shd w:fill="CCEEFF" w:val="clear"/>
            <w:vAlign w:val="center"/>
          </w:tcPr>
          <w:p>
            <w:pPr>
              <w:pStyle w:val="TableContents"/>
              <w:bidi w:val="0"/>
              <w:spacing w:before="0" w:after="283"/>
              <w:jc w:val="left"/>
              <w:rPr/>
            </w:pPr>
            <w:r>
              <w:rPr/>
              <w:t> </w:t>
            </w:r>
          </w:p>
        </w:tc>
        <w:tc>
          <w:tcPr>
            <w:tcW w:w="19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7" w:type="dxa"/>
            <w:tcBorders>
              <w:bottom w:val="single" w:sz="12" w:space="0" w:color="000000"/>
            </w:tcBorders>
            <w:shd w:fill="CCEEFF" w:val="clear"/>
            <w:tcMar>
              <w:bottom w:w="28" w:type="dxa"/>
            </w:tcMar>
            <w:vAlign w:val="center"/>
          </w:tcPr>
          <w:p>
            <w:pPr>
              <w:pStyle w:val="TableContents"/>
              <w:bidi w:val="0"/>
              <w:spacing w:before="0" w:after="283"/>
              <w:jc w:val="right"/>
              <w:rPr/>
            </w:pPr>
            <w:r>
              <w:rPr/>
              <w:t>(36,732</w:t>
            </w:r>
          </w:p>
        </w:tc>
        <w:tc>
          <w:tcPr>
            <w:tcW w:w="142" w:type="dxa"/>
            <w:tcBorders/>
            <w:shd w:fill="CCEEFF" w:val="clear"/>
            <w:vAlign w:val="center"/>
          </w:tcPr>
          <w:p>
            <w:pPr>
              <w:pStyle w:val="TableContents"/>
              <w:bidi w:val="0"/>
              <w:spacing w:before="0" w:after="283"/>
              <w:jc w:val="left"/>
              <w:rPr/>
            </w:pPr>
            <w:r>
              <w:rPr/>
              <w:t>)</w:t>
            </w:r>
          </w:p>
        </w:tc>
        <w:tc>
          <w:tcPr>
            <w:tcW w:w="102" w:type="dxa"/>
            <w:tcBorders/>
            <w:shd w:fill="CCEEFF" w:val="clear"/>
            <w:vAlign w:val="center"/>
          </w:tcPr>
          <w:p>
            <w:pPr>
              <w:pStyle w:val="TableContents"/>
              <w:bidi w:val="0"/>
              <w:spacing w:before="0" w:after="283"/>
              <w:jc w:val="left"/>
              <w:rPr/>
            </w:pPr>
            <w:r>
              <w:rPr/>
              <w:t> </w:t>
            </w:r>
          </w:p>
        </w:tc>
        <w:tc>
          <w:tcPr>
            <w:tcW w:w="19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4" w:type="dxa"/>
            <w:tcBorders>
              <w:bottom w:val="single" w:sz="12" w:space="0" w:color="000000"/>
            </w:tcBorders>
            <w:shd w:fill="CCEEFF" w:val="clear"/>
            <w:tcMar>
              <w:bottom w:w="28" w:type="dxa"/>
            </w:tcMar>
            <w:vAlign w:val="center"/>
          </w:tcPr>
          <w:p>
            <w:pPr>
              <w:pStyle w:val="TableContents"/>
              <w:bidi w:val="0"/>
              <w:spacing w:before="0" w:after="283"/>
              <w:jc w:val="right"/>
              <w:rPr/>
            </w:pPr>
            <w:r>
              <w:rPr/>
              <w:t>(26,963</w:t>
            </w:r>
          </w:p>
        </w:tc>
        <w:tc>
          <w:tcPr>
            <w:tcW w:w="161" w:type="dxa"/>
            <w:tcBorders/>
            <w:shd w:fill="CCEEFF" w:val="clear"/>
            <w:vAlign w:val="center"/>
          </w:tcPr>
          <w:p>
            <w:pPr>
              <w:pStyle w:val="TableContents"/>
              <w:bidi w:val="0"/>
              <w:spacing w:before="0" w:after="283"/>
              <w:ind w:left="0" w:right="0" w:hanging="360"/>
              <w:jc w:val="left"/>
              <w:rPr/>
            </w:pPr>
            <w:r>
              <w:rPr/>
              <w:t>)</w:t>
            </w:r>
          </w:p>
        </w:tc>
      </w:tr>
      <w:tr>
        <w:trPr/>
        <w:tc>
          <w:tcPr>
            <w:tcW w:w="739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897" w:type="dxa"/>
            <w:tcBorders/>
            <w:vAlign w:val="center"/>
          </w:tcPr>
          <w:p>
            <w:pPr>
              <w:pStyle w:val="TableContents"/>
              <w:bidi w:val="0"/>
              <w:spacing w:before="0" w:after="283"/>
              <w:jc w:val="right"/>
              <w:rPr/>
            </w:pPr>
            <w:r>
              <w:rPr/>
              <w:t> </w:t>
            </w:r>
          </w:p>
        </w:tc>
        <w:tc>
          <w:tcPr>
            <w:tcW w:w="14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1034" w:type="dxa"/>
            <w:tcBorders/>
            <w:vAlign w:val="center"/>
          </w:tcPr>
          <w:p>
            <w:pPr>
              <w:pStyle w:val="TableContents"/>
              <w:bidi w:val="0"/>
              <w:spacing w:before="0" w:after="283"/>
              <w:jc w:val="right"/>
              <w:rPr/>
            </w:pPr>
            <w:r>
              <w:rPr/>
              <w:t> </w:t>
            </w:r>
          </w:p>
        </w:tc>
        <w:tc>
          <w:tcPr>
            <w:tcW w:w="161" w:type="dxa"/>
            <w:tcBorders/>
            <w:vAlign w:val="center"/>
          </w:tcPr>
          <w:p>
            <w:pPr>
              <w:pStyle w:val="TableContents"/>
              <w:bidi w:val="0"/>
              <w:spacing w:before="0" w:after="283"/>
              <w:ind w:left="0" w:right="0" w:hanging="360"/>
              <w:jc w:val="left"/>
              <w:rPr/>
            </w:pPr>
            <w:r>
              <w:rPr/>
              <w:t> </w:t>
            </w:r>
          </w:p>
        </w:tc>
      </w:tr>
      <w:tr>
        <w:trPr/>
        <w:tc>
          <w:tcPr>
            <w:tcW w:w="7391" w:type="dxa"/>
            <w:tcBorders/>
            <w:shd w:fill="CCEEFF" w:val="clear"/>
            <w:vAlign w:val="center"/>
          </w:tcPr>
          <w:p>
            <w:pPr>
              <w:pStyle w:val="TableContents"/>
              <w:bidi w:val="0"/>
              <w:spacing w:before="0" w:after="283"/>
              <w:jc w:val="left"/>
              <w:rPr>
                <w:b/>
              </w:rPr>
            </w:pPr>
            <w:r>
              <w:rPr>
                <w:b/>
              </w:rPr>
              <w:t>Cash flows from investing activities:</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 </w:t>
            </w:r>
          </w:p>
        </w:tc>
        <w:tc>
          <w:tcPr>
            <w:tcW w:w="14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pPr>
            <w:r>
              <w:rPr/>
              <w:t> </w:t>
            </w:r>
          </w:p>
        </w:tc>
        <w:tc>
          <w:tcPr>
            <w:tcW w:w="161" w:type="dxa"/>
            <w:tcBorders/>
            <w:shd w:fill="CCEEFF" w:val="clear"/>
            <w:vAlign w:val="center"/>
          </w:tcPr>
          <w:p>
            <w:pPr>
              <w:pStyle w:val="TableContents"/>
              <w:bidi w:val="0"/>
              <w:spacing w:before="0" w:after="283"/>
              <w:ind w:left="0" w:right="0" w:hanging="360"/>
              <w:jc w:val="left"/>
              <w:rPr/>
            </w:pPr>
            <w:r>
              <w:rPr/>
              <w:t> </w:t>
            </w:r>
          </w:p>
        </w:tc>
      </w:tr>
      <w:tr>
        <w:trPr/>
        <w:tc>
          <w:tcPr>
            <w:tcW w:w="7391" w:type="dxa"/>
            <w:tcBorders/>
            <w:vAlign w:val="center"/>
          </w:tcPr>
          <w:p>
            <w:pPr>
              <w:pStyle w:val="TableContents"/>
              <w:bidi w:val="0"/>
              <w:spacing w:before="0" w:after="283"/>
              <w:jc w:val="left"/>
              <w:rPr/>
            </w:pPr>
            <w:r>
              <w:rPr/>
              <w:t>Purchase of marketable debt securities</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897" w:type="dxa"/>
            <w:tcBorders/>
            <w:vAlign w:val="center"/>
          </w:tcPr>
          <w:p>
            <w:pPr>
              <w:pStyle w:val="TableContents"/>
              <w:bidi w:val="0"/>
              <w:spacing w:before="0" w:after="283"/>
              <w:jc w:val="right"/>
              <w:rPr/>
            </w:pPr>
            <w:r>
              <w:rPr/>
              <w:t>(63,090</w:t>
            </w:r>
          </w:p>
        </w:tc>
        <w:tc>
          <w:tcPr>
            <w:tcW w:w="142" w:type="dxa"/>
            <w:tcBorders/>
            <w:vAlign w:val="center"/>
          </w:tcPr>
          <w:p>
            <w:pPr>
              <w:pStyle w:val="TableContents"/>
              <w:bidi w:val="0"/>
              <w:spacing w:before="0" w:after="283"/>
              <w:jc w:val="left"/>
              <w:rPr/>
            </w:pPr>
            <w:r>
              <w:rPr/>
              <w:t>)</w:t>
            </w:r>
          </w:p>
        </w:tc>
        <w:tc>
          <w:tcPr>
            <w:tcW w:w="102"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1034" w:type="dxa"/>
            <w:tcBorders/>
            <w:vAlign w:val="center"/>
          </w:tcPr>
          <w:p>
            <w:pPr>
              <w:pStyle w:val="TableContents"/>
              <w:bidi w:val="0"/>
              <w:spacing w:before="0" w:after="283"/>
              <w:jc w:val="right"/>
              <w:rPr/>
            </w:pPr>
            <w:r>
              <w:rPr/>
              <w:t>(117,511</w:t>
            </w:r>
          </w:p>
        </w:tc>
        <w:tc>
          <w:tcPr>
            <w:tcW w:w="161" w:type="dxa"/>
            <w:tcBorders/>
            <w:vAlign w:val="center"/>
          </w:tcPr>
          <w:p>
            <w:pPr>
              <w:pStyle w:val="TableContents"/>
              <w:bidi w:val="0"/>
              <w:spacing w:before="0" w:after="283"/>
              <w:ind w:left="0" w:right="0" w:hanging="360"/>
              <w:jc w:val="left"/>
              <w:rPr/>
            </w:pPr>
            <w:r>
              <w:rPr/>
              <w:t>)</w:t>
            </w:r>
          </w:p>
        </w:tc>
      </w:tr>
      <w:tr>
        <w:trPr/>
        <w:tc>
          <w:tcPr>
            <w:tcW w:w="7391" w:type="dxa"/>
            <w:tcBorders/>
            <w:shd w:fill="CCEEFF" w:val="clear"/>
            <w:vAlign w:val="center"/>
          </w:tcPr>
          <w:p>
            <w:pPr>
              <w:pStyle w:val="TableContents"/>
              <w:bidi w:val="0"/>
              <w:spacing w:before="0" w:after="283"/>
              <w:jc w:val="left"/>
              <w:rPr/>
            </w:pPr>
            <w:r>
              <w:rPr/>
              <w:t>Proceeds from maturity and redemption of marketable debt securities</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66,455</w:t>
            </w:r>
          </w:p>
        </w:tc>
        <w:tc>
          <w:tcPr>
            <w:tcW w:w="14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pPr>
            <w:r>
              <w:rPr/>
              <w:t>11,500</w:t>
            </w:r>
          </w:p>
        </w:tc>
        <w:tc>
          <w:tcPr>
            <w:tcW w:w="161" w:type="dxa"/>
            <w:tcBorders/>
            <w:shd w:fill="CCEEFF" w:val="clear"/>
            <w:vAlign w:val="center"/>
          </w:tcPr>
          <w:p>
            <w:pPr>
              <w:pStyle w:val="TableContents"/>
              <w:bidi w:val="0"/>
              <w:spacing w:before="0" w:after="283"/>
              <w:ind w:left="0" w:right="0" w:hanging="360"/>
              <w:jc w:val="left"/>
              <w:rPr/>
            </w:pPr>
            <w:r>
              <w:rPr/>
              <w:t> </w:t>
            </w:r>
          </w:p>
        </w:tc>
      </w:tr>
      <w:tr>
        <w:trPr/>
        <w:tc>
          <w:tcPr>
            <w:tcW w:w="7391" w:type="dxa"/>
            <w:tcBorders/>
            <w:vAlign w:val="center"/>
          </w:tcPr>
          <w:p>
            <w:pPr>
              <w:pStyle w:val="TableContents"/>
              <w:bidi w:val="0"/>
              <w:spacing w:before="0" w:after="283"/>
              <w:jc w:val="left"/>
              <w:rPr/>
            </w:pPr>
            <w:r>
              <w:rPr/>
              <w:t>Purchase of property and equipment</w:t>
            </w:r>
          </w:p>
        </w:tc>
        <w:tc>
          <w:tcPr>
            <w:tcW w:w="90" w:type="dxa"/>
            <w:tcBorders/>
            <w:vAlign w:val="center"/>
          </w:tcPr>
          <w:p>
            <w:pPr>
              <w:pStyle w:val="TableContents"/>
              <w:bidi w:val="0"/>
              <w:spacing w:before="0" w:after="283"/>
              <w:jc w:val="left"/>
              <w:rPr/>
            </w:pPr>
            <w:r>
              <w:rPr/>
              <w:t> </w:t>
            </w:r>
          </w:p>
        </w:tc>
        <w:tc>
          <w:tcPr>
            <w:tcW w:w="194" w:type="dxa"/>
            <w:tcBorders>
              <w:bottom w:val="single" w:sz="12" w:space="0" w:color="000000"/>
            </w:tcBorders>
            <w:tcMar>
              <w:bottom w:w="28" w:type="dxa"/>
            </w:tcMar>
            <w:vAlign w:val="center"/>
          </w:tcPr>
          <w:p>
            <w:pPr>
              <w:pStyle w:val="TableContents"/>
              <w:bidi w:val="0"/>
              <w:spacing w:before="0" w:after="283"/>
              <w:jc w:val="left"/>
              <w:rPr/>
            </w:pPr>
            <w:r>
              <w:rPr/>
              <w:t> </w:t>
            </w:r>
          </w:p>
        </w:tc>
        <w:tc>
          <w:tcPr>
            <w:tcW w:w="897" w:type="dxa"/>
            <w:tcBorders>
              <w:bottom w:val="single" w:sz="12" w:space="0" w:color="000000"/>
            </w:tcBorders>
            <w:tcMar>
              <w:bottom w:w="28" w:type="dxa"/>
            </w:tcMar>
            <w:vAlign w:val="center"/>
          </w:tcPr>
          <w:p>
            <w:pPr>
              <w:pStyle w:val="TableContents"/>
              <w:bidi w:val="0"/>
              <w:spacing w:before="0" w:after="283"/>
              <w:jc w:val="right"/>
              <w:rPr/>
            </w:pPr>
            <w:r>
              <w:rPr/>
              <w:t>(332</w:t>
            </w:r>
          </w:p>
        </w:tc>
        <w:tc>
          <w:tcPr>
            <w:tcW w:w="142" w:type="dxa"/>
            <w:tcBorders/>
            <w:vAlign w:val="center"/>
          </w:tcPr>
          <w:p>
            <w:pPr>
              <w:pStyle w:val="TableContents"/>
              <w:bidi w:val="0"/>
              <w:spacing w:before="0" w:after="283"/>
              <w:jc w:val="left"/>
              <w:rPr/>
            </w:pPr>
            <w:r>
              <w:rPr/>
              <w:t>)</w:t>
            </w:r>
          </w:p>
        </w:tc>
        <w:tc>
          <w:tcPr>
            <w:tcW w:w="102" w:type="dxa"/>
            <w:tcBorders/>
            <w:vAlign w:val="center"/>
          </w:tcPr>
          <w:p>
            <w:pPr>
              <w:pStyle w:val="TableContents"/>
              <w:bidi w:val="0"/>
              <w:spacing w:before="0" w:after="283"/>
              <w:jc w:val="left"/>
              <w:rPr/>
            </w:pPr>
            <w:r>
              <w:rPr/>
              <w:t> </w:t>
            </w:r>
          </w:p>
        </w:tc>
        <w:tc>
          <w:tcPr>
            <w:tcW w:w="194" w:type="dxa"/>
            <w:tcBorders>
              <w:bottom w:val="single" w:sz="12" w:space="0" w:color="000000"/>
            </w:tcBorders>
            <w:tcMar>
              <w:bottom w:w="28" w:type="dxa"/>
            </w:tcMar>
            <w:vAlign w:val="center"/>
          </w:tcPr>
          <w:p>
            <w:pPr>
              <w:pStyle w:val="TableContents"/>
              <w:bidi w:val="0"/>
              <w:spacing w:before="0" w:after="283"/>
              <w:jc w:val="left"/>
              <w:rPr/>
            </w:pPr>
            <w:r>
              <w:rPr/>
              <w:t> </w:t>
            </w:r>
          </w:p>
        </w:tc>
        <w:tc>
          <w:tcPr>
            <w:tcW w:w="1034" w:type="dxa"/>
            <w:tcBorders>
              <w:bottom w:val="single" w:sz="12" w:space="0" w:color="000000"/>
            </w:tcBorders>
            <w:tcMar>
              <w:bottom w:w="28" w:type="dxa"/>
            </w:tcMar>
            <w:vAlign w:val="center"/>
          </w:tcPr>
          <w:p>
            <w:pPr>
              <w:pStyle w:val="TableContents"/>
              <w:bidi w:val="0"/>
              <w:spacing w:before="0" w:after="283"/>
              <w:jc w:val="right"/>
              <w:rPr/>
            </w:pPr>
            <w:r>
              <w:rPr/>
              <w:t>(66</w:t>
            </w:r>
          </w:p>
        </w:tc>
        <w:tc>
          <w:tcPr>
            <w:tcW w:w="161" w:type="dxa"/>
            <w:tcBorders/>
            <w:vAlign w:val="center"/>
          </w:tcPr>
          <w:p>
            <w:pPr>
              <w:pStyle w:val="TableContents"/>
              <w:bidi w:val="0"/>
              <w:spacing w:before="0" w:after="283"/>
              <w:ind w:left="0" w:right="0" w:hanging="360"/>
              <w:jc w:val="left"/>
              <w:rPr/>
            </w:pPr>
            <w:r>
              <w:rPr/>
              <w:t>)</w:t>
            </w:r>
          </w:p>
        </w:tc>
      </w:tr>
      <w:tr>
        <w:trPr/>
        <w:tc>
          <w:tcPr>
            <w:tcW w:w="7391" w:type="dxa"/>
            <w:tcBorders/>
            <w:shd w:fill="CCEEFF" w:val="clear"/>
            <w:vAlign w:val="center"/>
          </w:tcPr>
          <w:p>
            <w:pPr>
              <w:pStyle w:val="TableContents"/>
              <w:bidi w:val="0"/>
              <w:spacing w:before="0" w:after="283"/>
              <w:jc w:val="left"/>
              <w:rPr/>
            </w:pPr>
            <w:r>
              <w:rPr/>
              <w:t>Net cash provided by (used in) investing activities</w:t>
            </w:r>
          </w:p>
        </w:tc>
        <w:tc>
          <w:tcPr>
            <w:tcW w:w="90" w:type="dxa"/>
            <w:tcBorders/>
            <w:shd w:fill="CCEEFF" w:val="clear"/>
            <w:vAlign w:val="center"/>
          </w:tcPr>
          <w:p>
            <w:pPr>
              <w:pStyle w:val="TableContents"/>
              <w:bidi w:val="0"/>
              <w:spacing w:before="0" w:after="283"/>
              <w:jc w:val="left"/>
              <w:rPr/>
            </w:pPr>
            <w:r>
              <w:rPr/>
              <w:t> </w:t>
            </w:r>
          </w:p>
        </w:tc>
        <w:tc>
          <w:tcPr>
            <w:tcW w:w="19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7" w:type="dxa"/>
            <w:tcBorders>
              <w:bottom w:val="single" w:sz="12" w:space="0" w:color="000000"/>
            </w:tcBorders>
            <w:shd w:fill="CCEEFF" w:val="clear"/>
            <w:tcMar>
              <w:bottom w:w="28" w:type="dxa"/>
            </w:tcMar>
            <w:vAlign w:val="center"/>
          </w:tcPr>
          <w:p>
            <w:pPr>
              <w:pStyle w:val="TableContents"/>
              <w:bidi w:val="0"/>
              <w:spacing w:before="0" w:after="283"/>
              <w:jc w:val="right"/>
              <w:rPr/>
            </w:pPr>
            <w:r>
              <w:rPr/>
              <w:t>3,033</w:t>
            </w:r>
          </w:p>
        </w:tc>
        <w:tc>
          <w:tcPr>
            <w:tcW w:w="14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9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4" w:type="dxa"/>
            <w:tcBorders>
              <w:bottom w:val="single" w:sz="12" w:space="0" w:color="000000"/>
            </w:tcBorders>
            <w:shd w:fill="CCEEFF" w:val="clear"/>
            <w:tcMar>
              <w:bottom w:w="28" w:type="dxa"/>
            </w:tcMar>
            <w:vAlign w:val="center"/>
          </w:tcPr>
          <w:p>
            <w:pPr>
              <w:pStyle w:val="TableContents"/>
              <w:bidi w:val="0"/>
              <w:spacing w:before="0" w:after="283"/>
              <w:jc w:val="right"/>
              <w:rPr/>
            </w:pPr>
            <w:r>
              <w:rPr/>
              <w:t>(106,077</w:t>
            </w:r>
          </w:p>
        </w:tc>
        <w:tc>
          <w:tcPr>
            <w:tcW w:w="161" w:type="dxa"/>
            <w:tcBorders/>
            <w:shd w:fill="CCEEFF" w:val="clear"/>
            <w:vAlign w:val="center"/>
          </w:tcPr>
          <w:p>
            <w:pPr>
              <w:pStyle w:val="TableContents"/>
              <w:bidi w:val="0"/>
              <w:spacing w:before="0" w:after="283"/>
              <w:ind w:left="0" w:right="0" w:hanging="360"/>
              <w:jc w:val="left"/>
              <w:rPr/>
            </w:pPr>
            <w:r>
              <w:rPr/>
              <w:t>)</w:t>
            </w:r>
          </w:p>
        </w:tc>
      </w:tr>
      <w:tr>
        <w:trPr/>
        <w:tc>
          <w:tcPr>
            <w:tcW w:w="739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897" w:type="dxa"/>
            <w:tcBorders/>
            <w:vAlign w:val="center"/>
          </w:tcPr>
          <w:p>
            <w:pPr>
              <w:pStyle w:val="TableContents"/>
              <w:bidi w:val="0"/>
              <w:spacing w:before="0" w:after="283"/>
              <w:jc w:val="right"/>
              <w:rPr/>
            </w:pPr>
            <w:r>
              <w:rPr/>
              <w:t> </w:t>
            </w:r>
          </w:p>
        </w:tc>
        <w:tc>
          <w:tcPr>
            <w:tcW w:w="14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1034" w:type="dxa"/>
            <w:tcBorders/>
            <w:vAlign w:val="center"/>
          </w:tcPr>
          <w:p>
            <w:pPr>
              <w:pStyle w:val="TableContents"/>
              <w:bidi w:val="0"/>
              <w:spacing w:before="0" w:after="283"/>
              <w:jc w:val="right"/>
              <w:rPr/>
            </w:pPr>
            <w:r>
              <w:rPr/>
              <w:t> </w:t>
            </w:r>
          </w:p>
        </w:tc>
        <w:tc>
          <w:tcPr>
            <w:tcW w:w="161" w:type="dxa"/>
            <w:tcBorders/>
            <w:vAlign w:val="center"/>
          </w:tcPr>
          <w:p>
            <w:pPr>
              <w:pStyle w:val="TableContents"/>
              <w:bidi w:val="0"/>
              <w:spacing w:before="0" w:after="283"/>
              <w:ind w:left="0" w:right="0" w:hanging="360"/>
              <w:jc w:val="left"/>
              <w:rPr/>
            </w:pPr>
            <w:r>
              <w:rPr/>
              <w:t> </w:t>
            </w:r>
          </w:p>
        </w:tc>
      </w:tr>
      <w:tr>
        <w:trPr/>
        <w:tc>
          <w:tcPr>
            <w:tcW w:w="7391" w:type="dxa"/>
            <w:tcBorders/>
            <w:shd w:fill="CCEEFF" w:val="clear"/>
            <w:vAlign w:val="center"/>
          </w:tcPr>
          <w:p>
            <w:pPr>
              <w:pStyle w:val="TableContents"/>
              <w:bidi w:val="0"/>
              <w:spacing w:before="0" w:after="283"/>
              <w:jc w:val="left"/>
              <w:rPr>
                <w:b/>
              </w:rPr>
            </w:pPr>
            <w:r>
              <w:rPr>
                <w:b/>
              </w:rPr>
              <w:t>Cash flows from financing activities:</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 </w:t>
            </w:r>
          </w:p>
        </w:tc>
        <w:tc>
          <w:tcPr>
            <w:tcW w:w="14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pPr>
            <w:r>
              <w:rPr/>
              <w:t> </w:t>
            </w:r>
          </w:p>
        </w:tc>
        <w:tc>
          <w:tcPr>
            <w:tcW w:w="161" w:type="dxa"/>
            <w:tcBorders/>
            <w:shd w:fill="CCEEFF" w:val="clear"/>
            <w:vAlign w:val="center"/>
          </w:tcPr>
          <w:p>
            <w:pPr>
              <w:pStyle w:val="TableContents"/>
              <w:bidi w:val="0"/>
              <w:spacing w:before="0" w:after="283"/>
              <w:ind w:left="0" w:right="0" w:hanging="360"/>
              <w:jc w:val="left"/>
              <w:rPr/>
            </w:pPr>
            <w:r>
              <w:rPr/>
              <w:t> </w:t>
            </w:r>
          </w:p>
        </w:tc>
      </w:tr>
      <w:tr>
        <w:trPr/>
        <w:tc>
          <w:tcPr>
            <w:tcW w:w="7391" w:type="dxa"/>
            <w:tcBorders/>
            <w:vAlign w:val="center"/>
          </w:tcPr>
          <w:p>
            <w:pPr>
              <w:pStyle w:val="TableContents"/>
              <w:bidi w:val="0"/>
              <w:spacing w:before="0" w:after="0"/>
              <w:jc w:val="left"/>
              <w:rPr/>
            </w:pPr>
            <w:r>
              <w:rPr/>
              <w:t>Proceeds from exercise of Underwriters’ Option in December 2024 Public Offering, net of offering costs of $214</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897" w:type="dxa"/>
            <w:tcBorders/>
            <w:vAlign w:val="center"/>
          </w:tcPr>
          <w:p>
            <w:pPr>
              <w:pStyle w:val="TableContents"/>
              <w:bidi w:val="0"/>
              <w:spacing w:before="0" w:after="0"/>
              <w:jc w:val="right"/>
              <w:rPr/>
            </w:pPr>
            <w:r>
              <w:rPr/>
              <w:t>-</w:t>
            </w:r>
          </w:p>
        </w:tc>
        <w:tc>
          <w:tcPr>
            <w:tcW w:w="14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1034" w:type="dxa"/>
            <w:tcBorders/>
            <w:vAlign w:val="center"/>
          </w:tcPr>
          <w:p>
            <w:pPr>
              <w:pStyle w:val="TableContents"/>
              <w:bidi w:val="0"/>
              <w:spacing w:before="0" w:after="283"/>
              <w:jc w:val="right"/>
              <w:rPr/>
            </w:pPr>
            <w:r>
              <w:rPr/>
              <w:t>2,528</w:t>
            </w:r>
          </w:p>
        </w:tc>
        <w:tc>
          <w:tcPr>
            <w:tcW w:w="161" w:type="dxa"/>
            <w:tcBorders/>
            <w:vAlign w:val="center"/>
          </w:tcPr>
          <w:p>
            <w:pPr>
              <w:pStyle w:val="TableContents"/>
              <w:bidi w:val="0"/>
              <w:spacing w:before="0" w:after="283"/>
              <w:ind w:left="0" w:right="0" w:hanging="360"/>
              <w:jc w:val="left"/>
              <w:rPr/>
            </w:pPr>
            <w:r>
              <w:rPr/>
              <w:t> </w:t>
            </w:r>
          </w:p>
        </w:tc>
      </w:tr>
      <w:tr>
        <w:trPr/>
        <w:tc>
          <w:tcPr>
            <w:tcW w:w="7391" w:type="dxa"/>
            <w:tcBorders/>
            <w:shd w:fill="CCEEFF" w:val="clear"/>
            <w:vAlign w:val="center"/>
          </w:tcPr>
          <w:p>
            <w:pPr>
              <w:pStyle w:val="TableContents"/>
              <w:bidi w:val="0"/>
              <w:spacing w:before="0" w:after="283"/>
              <w:jc w:val="left"/>
              <w:rPr/>
            </w:pPr>
            <w:r>
              <w:rPr/>
              <w:t>Offering costs paid in connection with public offerings</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(526</w:t>
            </w:r>
          </w:p>
        </w:tc>
        <w:tc>
          <w:tcPr>
            <w:tcW w:w="142" w:type="dxa"/>
            <w:tcBorders/>
            <w:shd w:fill="CCEEFF" w:val="clear"/>
            <w:vAlign w:val="center"/>
          </w:tcPr>
          <w:p>
            <w:pPr>
              <w:pStyle w:val="TableContents"/>
              <w:bidi w:val="0"/>
              <w:spacing w:before="0" w:after="283"/>
              <w:jc w:val="left"/>
              <w:rPr/>
            </w:pPr>
            <w:r>
              <w:rPr/>
              <w:t>)</w:t>
            </w:r>
          </w:p>
        </w:tc>
        <w:tc>
          <w:tcPr>
            <w:tcW w:w="102"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pPr>
            <w:r>
              <w:rPr/>
              <w:t>(614</w:t>
            </w:r>
          </w:p>
        </w:tc>
        <w:tc>
          <w:tcPr>
            <w:tcW w:w="161" w:type="dxa"/>
            <w:tcBorders/>
            <w:shd w:fill="CCEEFF" w:val="clear"/>
            <w:vAlign w:val="center"/>
          </w:tcPr>
          <w:p>
            <w:pPr>
              <w:pStyle w:val="TableContents"/>
              <w:bidi w:val="0"/>
              <w:spacing w:before="0" w:after="283"/>
              <w:ind w:left="0" w:right="0" w:hanging="360"/>
              <w:jc w:val="left"/>
              <w:rPr/>
            </w:pPr>
            <w:r>
              <w:rPr/>
              <w:t>)</w:t>
            </w:r>
          </w:p>
        </w:tc>
      </w:tr>
      <w:tr>
        <w:trPr/>
        <w:tc>
          <w:tcPr>
            <w:tcW w:w="7391" w:type="dxa"/>
            <w:tcBorders/>
            <w:vAlign w:val="center"/>
          </w:tcPr>
          <w:p>
            <w:pPr>
              <w:pStyle w:val="TableContents"/>
              <w:bidi w:val="0"/>
              <w:spacing w:before="0" w:after="283"/>
              <w:jc w:val="left"/>
              <w:rPr/>
            </w:pPr>
            <w:r>
              <w:rPr/>
              <w:t>Proceeds from exercise of pre-funded warrants</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897" w:type="dxa"/>
            <w:tcBorders/>
            <w:vAlign w:val="center"/>
          </w:tcPr>
          <w:p>
            <w:pPr>
              <w:pStyle w:val="TableContents"/>
              <w:bidi w:val="0"/>
              <w:spacing w:before="0" w:after="0"/>
              <w:jc w:val="right"/>
              <w:rPr/>
            </w:pPr>
            <w:r>
              <w:rPr/>
              <w:t>-</w:t>
            </w:r>
          </w:p>
        </w:tc>
        <w:tc>
          <w:tcPr>
            <w:tcW w:w="14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1034" w:type="dxa"/>
            <w:tcBorders/>
            <w:vAlign w:val="center"/>
          </w:tcPr>
          <w:p>
            <w:pPr>
              <w:pStyle w:val="TableContents"/>
              <w:bidi w:val="0"/>
              <w:spacing w:before="0" w:after="283"/>
              <w:jc w:val="right"/>
              <w:rPr/>
            </w:pPr>
            <w:r>
              <w:rPr/>
              <w:t>1</w:t>
            </w:r>
          </w:p>
        </w:tc>
        <w:tc>
          <w:tcPr>
            <w:tcW w:w="161" w:type="dxa"/>
            <w:tcBorders/>
            <w:vAlign w:val="center"/>
          </w:tcPr>
          <w:p>
            <w:pPr>
              <w:pStyle w:val="TableContents"/>
              <w:bidi w:val="0"/>
              <w:spacing w:before="0" w:after="283"/>
              <w:ind w:left="0" w:right="0" w:hanging="360"/>
              <w:jc w:val="left"/>
              <w:rPr/>
            </w:pPr>
            <w:r>
              <w:rPr/>
              <w:t> </w:t>
            </w:r>
          </w:p>
        </w:tc>
      </w:tr>
      <w:tr>
        <w:trPr/>
        <w:tc>
          <w:tcPr>
            <w:tcW w:w="7391" w:type="dxa"/>
            <w:tcBorders/>
            <w:shd w:fill="CCEEFF" w:val="clear"/>
            <w:vAlign w:val="center"/>
          </w:tcPr>
          <w:p>
            <w:pPr>
              <w:pStyle w:val="TableContents"/>
              <w:bidi w:val="0"/>
              <w:spacing w:before="0" w:after="283"/>
              <w:jc w:val="left"/>
              <w:rPr/>
            </w:pPr>
            <w:r>
              <w:rPr/>
              <w:t>Proceeds from exercise of common warrants</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1,942</w:t>
            </w:r>
          </w:p>
        </w:tc>
        <w:tc>
          <w:tcPr>
            <w:tcW w:w="14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0"/>
              <w:jc w:val="right"/>
              <w:rPr/>
            </w:pPr>
            <w:r>
              <w:rPr/>
              <w:t>-</w:t>
            </w:r>
          </w:p>
        </w:tc>
        <w:tc>
          <w:tcPr>
            <w:tcW w:w="161" w:type="dxa"/>
            <w:tcBorders/>
            <w:shd w:fill="CCEEFF" w:val="clear"/>
            <w:vAlign w:val="center"/>
          </w:tcPr>
          <w:p>
            <w:pPr>
              <w:pStyle w:val="TableContents"/>
              <w:bidi w:val="0"/>
              <w:spacing w:before="0" w:after="283"/>
              <w:ind w:left="0" w:right="0" w:hanging="360"/>
              <w:jc w:val="left"/>
              <w:rPr/>
            </w:pPr>
            <w:r>
              <w:rPr/>
              <w:t> </w:t>
            </w:r>
          </w:p>
        </w:tc>
      </w:tr>
      <w:tr>
        <w:trPr/>
        <w:tc>
          <w:tcPr>
            <w:tcW w:w="7391" w:type="dxa"/>
            <w:tcBorders/>
            <w:vAlign w:val="center"/>
          </w:tcPr>
          <w:p>
            <w:pPr>
              <w:pStyle w:val="TableContents"/>
              <w:bidi w:val="0"/>
              <w:spacing w:before="0" w:after="283"/>
              <w:jc w:val="left"/>
              <w:rPr/>
            </w:pPr>
            <w:r>
              <w:rPr/>
              <w:t>Taxes paid related to net share settlement of restricted stock units</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897" w:type="dxa"/>
            <w:tcBorders/>
            <w:vAlign w:val="center"/>
          </w:tcPr>
          <w:p>
            <w:pPr>
              <w:pStyle w:val="TableContents"/>
              <w:bidi w:val="0"/>
              <w:spacing w:before="0" w:after="283"/>
              <w:jc w:val="right"/>
              <w:rPr/>
            </w:pPr>
            <w:r>
              <w:rPr/>
              <w:t>(298</w:t>
            </w:r>
          </w:p>
        </w:tc>
        <w:tc>
          <w:tcPr>
            <w:tcW w:w="142" w:type="dxa"/>
            <w:tcBorders/>
            <w:vAlign w:val="center"/>
          </w:tcPr>
          <w:p>
            <w:pPr>
              <w:pStyle w:val="TableContents"/>
              <w:bidi w:val="0"/>
              <w:spacing w:before="0" w:after="283"/>
              <w:jc w:val="left"/>
              <w:rPr/>
            </w:pPr>
            <w:r>
              <w:rPr/>
              <w:t>)</w:t>
            </w:r>
          </w:p>
        </w:tc>
        <w:tc>
          <w:tcPr>
            <w:tcW w:w="102"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1034" w:type="dxa"/>
            <w:tcBorders/>
            <w:vAlign w:val="center"/>
          </w:tcPr>
          <w:p>
            <w:pPr>
              <w:pStyle w:val="TableContents"/>
              <w:bidi w:val="0"/>
              <w:spacing w:before="0" w:after="283"/>
              <w:jc w:val="right"/>
              <w:rPr/>
            </w:pPr>
            <w:r>
              <w:rPr/>
              <w:t>(185</w:t>
            </w:r>
          </w:p>
        </w:tc>
        <w:tc>
          <w:tcPr>
            <w:tcW w:w="161" w:type="dxa"/>
            <w:tcBorders/>
            <w:vAlign w:val="center"/>
          </w:tcPr>
          <w:p>
            <w:pPr>
              <w:pStyle w:val="TableContents"/>
              <w:bidi w:val="0"/>
              <w:spacing w:before="0" w:after="283"/>
              <w:ind w:left="0" w:right="0" w:hanging="360"/>
              <w:jc w:val="left"/>
              <w:rPr/>
            </w:pPr>
            <w:r>
              <w:rPr/>
              <w:t>)</w:t>
            </w:r>
          </w:p>
        </w:tc>
      </w:tr>
      <w:tr>
        <w:trPr/>
        <w:tc>
          <w:tcPr>
            <w:tcW w:w="7391" w:type="dxa"/>
            <w:tcBorders/>
            <w:shd w:fill="CCEEFF" w:val="clear"/>
            <w:vAlign w:val="center"/>
          </w:tcPr>
          <w:p>
            <w:pPr>
              <w:pStyle w:val="TableContents"/>
              <w:bidi w:val="0"/>
              <w:spacing w:before="0" w:after="283"/>
              <w:jc w:val="left"/>
              <w:rPr/>
            </w:pPr>
            <w:r>
              <w:rPr/>
              <w:t>Proceeds from exercise of stock options</w:t>
            </w:r>
          </w:p>
        </w:tc>
        <w:tc>
          <w:tcPr>
            <w:tcW w:w="90" w:type="dxa"/>
            <w:tcBorders/>
            <w:shd w:fill="CCEEFF" w:val="clear"/>
            <w:vAlign w:val="center"/>
          </w:tcPr>
          <w:p>
            <w:pPr>
              <w:pStyle w:val="TableContents"/>
              <w:bidi w:val="0"/>
              <w:spacing w:before="0" w:after="283"/>
              <w:jc w:val="left"/>
              <w:rPr/>
            </w:pPr>
            <w:r>
              <w:rPr/>
              <w:t> </w:t>
            </w:r>
          </w:p>
        </w:tc>
        <w:tc>
          <w:tcPr>
            <w:tcW w:w="19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7"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4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9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4" w:type="dxa"/>
            <w:tcBorders>
              <w:bottom w:val="single" w:sz="12" w:space="0" w:color="000000"/>
            </w:tcBorders>
            <w:shd w:fill="CCEEFF" w:val="clear"/>
            <w:tcMar>
              <w:bottom w:w="28" w:type="dxa"/>
            </w:tcMar>
            <w:vAlign w:val="center"/>
          </w:tcPr>
          <w:p>
            <w:pPr>
              <w:pStyle w:val="TableContents"/>
              <w:bidi w:val="0"/>
              <w:spacing w:before="0" w:after="283"/>
              <w:jc w:val="right"/>
              <w:rPr/>
            </w:pPr>
            <w:r>
              <w:rPr/>
              <w:t>8</w:t>
            </w:r>
          </w:p>
        </w:tc>
        <w:tc>
          <w:tcPr>
            <w:tcW w:w="161" w:type="dxa"/>
            <w:tcBorders/>
            <w:shd w:fill="CCEEFF" w:val="clear"/>
            <w:vAlign w:val="center"/>
          </w:tcPr>
          <w:p>
            <w:pPr>
              <w:pStyle w:val="TableContents"/>
              <w:bidi w:val="0"/>
              <w:spacing w:before="0" w:after="283"/>
              <w:ind w:left="0" w:right="0" w:hanging="360"/>
              <w:jc w:val="left"/>
              <w:rPr/>
            </w:pPr>
            <w:r>
              <w:rPr/>
              <w:t> </w:t>
            </w:r>
          </w:p>
        </w:tc>
      </w:tr>
      <w:tr>
        <w:trPr/>
        <w:tc>
          <w:tcPr>
            <w:tcW w:w="7391" w:type="dxa"/>
            <w:tcBorders/>
            <w:vAlign w:val="center"/>
          </w:tcPr>
          <w:p>
            <w:pPr>
              <w:pStyle w:val="TableContents"/>
              <w:bidi w:val="0"/>
              <w:spacing w:before="0" w:after="283"/>
              <w:jc w:val="left"/>
              <w:rPr/>
            </w:pPr>
            <w:r>
              <w:rPr/>
              <w:t>Net cash provided by (used in) financing activities</w:t>
            </w:r>
          </w:p>
        </w:tc>
        <w:tc>
          <w:tcPr>
            <w:tcW w:w="90" w:type="dxa"/>
            <w:tcBorders/>
            <w:vAlign w:val="center"/>
          </w:tcPr>
          <w:p>
            <w:pPr>
              <w:pStyle w:val="TableContents"/>
              <w:bidi w:val="0"/>
              <w:spacing w:before="0" w:after="283"/>
              <w:jc w:val="left"/>
              <w:rPr/>
            </w:pPr>
            <w:r>
              <w:rPr/>
              <w:t> </w:t>
            </w:r>
          </w:p>
        </w:tc>
        <w:tc>
          <w:tcPr>
            <w:tcW w:w="194" w:type="dxa"/>
            <w:tcBorders>
              <w:bottom w:val="single" w:sz="12" w:space="0" w:color="000000"/>
            </w:tcBorders>
            <w:tcMar>
              <w:bottom w:w="28" w:type="dxa"/>
            </w:tcMar>
            <w:vAlign w:val="center"/>
          </w:tcPr>
          <w:p>
            <w:pPr>
              <w:pStyle w:val="TableContents"/>
              <w:bidi w:val="0"/>
              <w:spacing w:before="0" w:after="283"/>
              <w:jc w:val="left"/>
              <w:rPr/>
            </w:pPr>
            <w:r>
              <w:rPr/>
              <w:t> </w:t>
            </w:r>
          </w:p>
        </w:tc>
        <w:tc>
          <w:tcPr>
            <w:tcW w:w="897" w:type="dxa"/>
            <w:tcBorders>
              <w:bottom w:val="single" w:sz="12" w:space="0" w:color="000000"/>
            </w:tcBorders>
            <w:tcMar>
              <w:bottom w:w="28" w:type="dxa"/>
            </w:tcMar>
            <w:vAlign w:val="center"/>
          </w:tcPr>
          <w:p>
            <w:pPr>
              <w:pStyle w:val="TableContents"/>
              <w:bidi w:val="0"/>
              <w:spacing w:before="0" w:after="283"/>
              <w:jc w:val="right"/>
              <w:rPr/>
            </w:pPr>
            <w:r>
              <w:rPr/>
              <w:t>1,118</w:t>
            </w:r>
          </w:p>
        </w:tc>
        <w:tc>
          <w:tcPr>
            <w:tcW w:w="14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94" w:type="dxa"/>
            <w:tcBorders>
              <w:bottom w:val="single" w:sz="12" w:space="0" w:color="000000"/>
            </w:tcBorders>
            <w:tcMar>
              <w:bottom w:w="28" w:type="dxa"/>
            </w:tcMar>
            <w:vAlign w:val="center"/>
          </w:tcPr>
          <w:p>
            <w:pPr>
              <w:pStyle w:val="TableContents"/>
              <w:bidi w:val="0"/>
              <w:spacing w:before="0" w:after="283"/>
              <w:jc w:val="left"/>
              <w:rPr/>
            </w:pPr>
            <w:r>
              <w:rPr/>
              <w:t> </w:t>
            </w:r>
          </w:p>
        </w:tc>
        <w:tc>
          <w:tcPr>
            <w:tcW w:w="1034" w:type="dxa"/>
            <w:tcBorders>
              <w:bottom w:val="single" w:sz="12" w:space="0" w:color="000000"/>
            </w:tcBorders>
            <w:tcMar>
              <w:bottom w:w="28" w:type="dxa"/>
            </w:tcMar>
            <w:vAlign w:val="center"/>
          </w:tcPr>
          <w:p>
            <w:pPr>
              <w:pStyle w:val="TableContents"/>
              <w:bidi w:val="0"/>
              <w:spacing w:before="0" w:after="283"/>
              <w:jc w:val="right"/>
              <w:rPr/>
            </w:pPr>
            <w:r>
              <w:rPr/>
              <w:t>1,738</w:t>
            </w:r>
          </w:p>
        </w:tc>
        <w:tc>
          <w:tcPr>
            <w:tcW w:w="161" w:type="dxa"/>
            <w:tcBorders/>
            <w:vAlign w:val="center"/>
          </w:tcPr>
          <w:p>
            <w:pPr>
              <w:pStyle w:val="TableContents"/>
              <w:bidi w:val="0"/>
              <w:spacing w:before="0" w:after="283"/>
              <w:ind w:left="0" w:right="0" w:hanging="360"/>
              <w:jc w:val="left"/>
              <w:rPr/>
            </w:pPr>
            <w:r>
              <w:rPr/>
              <w:t> </w:t>
            </w:r>
          </w:p>
        </w:tc>
      </w:tr>
      <w:tr>
        <w:trPr/>
        <w:tc>
          <w:tcPr>
            <w:tcW w:w="7391"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 </w:t>
            </w:r>
          </w:p>
        </w:tc>
        <w:tc>
          <w:tcPr>
            <w:tcW w:w="14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pPr>
            <w:r>
              <w:rPr/>
              <w:t> </w:t>
            </w:r>
          </w:p>
        </w:tc>
        <w:tc>
          <w:tcPr>
            <w:tcW w:w="161" w:type="dxa"/>
            <w:tcBorders/>
            <w:shd w:fill="CCEEFF" w:val="clear"/>
            <w:vAlign w:val="center"/>
          </w:tcPr>
          <w:p>
            <w:pPr>
              <w:pStyle w:val="TableContents"/>
              <w:bidi w:val="0"/>
              <w:spacing w:before="0" w:after="283"/>
              <w:ind w:left="0" w:right="0" w:hanging="360"/>
              <w:jc w:val="left"/>
              <w:rPr/>
            </w:pPr>
            <w:r>
              <w:rPr/>
              <w:t> </w:t>
            </w:r>
          </w:p>
        </w:tc>
      </w:tr>
      <w:tr>
        <w:trPr/>
        <w:tc>
          <w:tcPr>
            <w:tcW w:w="7391" w:type="dxa"/>
            <w:tcBorders/>
            <w:vAlign w:val="center"/>
          </w:tcPr>
          <w:p>
            <w:pPr>
              <w:pStyle w:val="TableContents"/>
              <w:bidi w:val="0"/>
              <w:spacing w:before="0" w:after="283"/>
              <w:jc w:val="left"/>
              <w:rPr/>
            </w:pPr>
            <w:r>
              <w:rPr/>
              <w:t>Net increase (decrease) in cash and cash equivalents and restricted cash</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897" w:type="dxa"/>
            <w:tcBorders/>
            <w:vAlign w:val="center"/>
          </w:tcPr>
          <w:p>
            <w:pPr>
              <w:pStyle w:val="TableContents"/>
              <w:bidi w:val="0"/>
              <w:spacing w:before="0" w:after="283"/>
              <w:jc w:val="right"/>
              <w:rPr/>
            </w:pPr>
            <w:r>
              <w:rPr/>
              <w:t>(32,581</w:t>
            </w:r>
          </w:p>
        </w:tc>
        <w:tc>
          <w:tcPr>
            <w:tcW w:w="142" w:type="dxa"/>
            <w:tcBorders/>
            <w:vAlign w:val="center"/>
          </w:tcPr>
          <w:p>
            <w:pPr>
              <w:pStyle w:val="TableContents"/>
              <w:bidi w:val="0"/>
              <w:spacing w:before="0" w:after="283"/>
              <w:jc w:val="left"/>
              <w:rPr/>
            </w:pPr>
            <w:r>
              <w:rPr/>
              <w:t>)</w:t>
            </w:r>
          </w:p>
        </w:tc>
        <w:tc>
          <w:tcPr>
            <w:tcW w:w="102"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1034" w:type="dxa"/>
            <w:tcBorders/>
            <w:vAlign w:val="center"/>
          </w:tcPr>
          <w:p>
            <w:pPr>
              <w:pStyle w:val="TableContents"/>
              <w:bidi w:val="0"/>
              <w:spacing w:before="0" w:after="283"/>
              <w:jc w:val="right"/>
              <w:rPr/>
            </w:pPr>
            <w:r>
              <w:rPr/>
              <w:t>(131,302</w:t>
            </w:r>
          </w:p>
        </w:tc>
        <w:tc>
          <w:tcPr>
            <w:tcW w:w="161" w:type="dxa"/>
            <w:tcBorders/>
            <w:vAlign w:val="center"/>
          </w:tcPr>
          <w:p>
            <w:pPr>
              <w:pStyle w:val="TableContents"/>
              <w:bidi w:val="0"/>
              <w:spacing w:before="0" w:after="283"/>
              <w:ind w:left="0" w:right="0" w:hanging="360"/>
              <w:jc w:val="left"/>
              <w:rPr/>
            </w:pPr>
            <w:r>
              <w:rPr/>
              <w:t>)</w:t>
            </w:r>
          </w:p>
        </w:tc>
      </w:tr>
      <w:tr>
        <w:trPr/>
        <w:tc>
          <w:tcPr>
            <w:tcW w:w="7391" w:type="dxa"/>
            <w:tcBorders/>
            <w:shd w:fill="CCEEFF" w:val="clear"/>
            <w:vAlign w:val="center"/>
          </w:tcPr>
          <w:p>
            <w:pPr>
              <w:pStyle w:val="TableContents"/>
              <w:bidi w:val="0"/>
              <w:spacing w:before="0" w:after="283"/>
              <w:jc w:val="left"/>
              <w:rPr/>
            </w:pPr>
            <w:r>
              <w:rPr/>
              <w:t>Cash and cash equivalents and restricted cash - beginning of period</w:t>
            </w:r>
          </w:p>
        </w:tc>
        <w:tc>
          <w:tcPr>
            <w:tcW w:w="90" w:type="dxa"/>
            <w:tcBorders/>
            <w:shd w:fill="CCEEFF" w:val="clear"/>
            <w:vAlign w:val="center"/>
          </w:tcPr>
          <w:p>
            <w:pPr>
              <w:pStyle w:val="TableContents"/>
              <w:bidi w:val="0"/>
              <w:spacing w:before="0" w:after="283"/>
              <w:jc w:val="left"/>
              <w:rPr/>
            </w:pPr>
            <w:r>
              <w:rPr/>
              <w:t> </w:t>
            </w:r>
          </w:p>
        </w:tc>
        <w:tc>
          <w:tcPr>
            <w:tcW w:w="19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7" w:type="dxa"/>
            <w:tcBorders>
              <w:bottom w:val="single" w:sz="12" w:space="0" w:color="000000"/>
            </w:tcBorders>
            <w:shd w:fill="CCEEFF" w:val="clear"/>
            <w:tcMar>
              <w:bottom w:w="28" w:type="dxa"/>
            </w:tcMar>
            <w:vAlign w:val="center"/>
          </w:tcPr>
          <w:p>
            <w:pPr>
              <w:pStyle w:val="TableContents"/>
              <w:bidi w:val="0"/>
              <w:spacing w:before="0" w:after="283"/>
              <w:jc w:val="right"/>
              <w:rPr/>
            </w:pPr>
            <w:r>
              <w:rPr/>
              <w:t>50,402</w:t>
            </w:r>
          </w:p>
        </w:tc>
        <w:tc>
          <w:tcPr>
            <w:tcW w:w="14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9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4" w:type="dxa"/>
            <w:tcBorders>
              <w:bottom w:val="single" w:sz="12" w:space="0" w:color="000000"/>
            </w:tcBorders>
            <w:shd w:fill="CCEEFF" w:val="clear"/>
            <w:tcMar>
              <w:bottom w:w="28" w:type="dxa"/>
            </w:tcMar>
            <w:vAlign w:val="center"/>
          </w:tcPr>
          <w:p>
            <w:pPr>
              <w:pStyle w:val="TableContents"/>
              <w:bidi w:val="0"/>
              <w:spacing w:before="0" w:after="283"/>
              <w:jc w:val="right"/>
              <w:rPr/>
            </w:pPr>
            <w:r>
              <w:rPr/>
              <w:t>163,543</w:t>
            </w:r>
          </w:p>
        </w:tc>
        <w:tc>
          <w:tcPr>
            <w:tcW w:w="161" w:type="dxa"/>
            <w:tcBorders/>
            <w:shd w:fill="CCEEFF" w:val="clear"/>
            <w:vAlign w:val="center"/>
          </w:tcPr>
          <w:p>
            <w:pPr>
              <w:pStyle w:val="TableContents"/>
              <w:bidi w:val="0"/>
              <w:spacing w:before="0" w:after="283"/>
              <w:ind w:left="0" w:right="0" w:hanging="360"/>
              <w:jc w:val="left"/>
              <w:rPr/>
            </w:pPr>
            <w:r>
              <w:rPr/>
              <w:t> </w:t>
            </w:r>
          </w:p>
        </w:tc>
      </w:tr>
      <w:tr>
        <w:trPr/>
        <w:tc>
          <w:tcPr>
            <w:tcW w:w="7391" w:type="dxa"/>
            <w:tcBorders/>
            <w:vAlign w:val="center"/>
          </w:tcPr>
          <w:p>
            <w:pPr>
              <w:pStyle w:val="TableContents"/>
              <w:bidi w:val="0"/>
              <w:spacing w:before="0" w:after="283"/>
              <w:jc w:val="left"/>
              <w:rPr/>
            </w:pPr>
            <w:r>
              <w:rPr/>
              <w:t>Cash and cash equivalents and restricted cash - end of period</w:t>
            </w:r>
          </w:p>
        </w:tc>
        <w:tc>
          <w:tcPr>
            <w:tcW w:w="90" w:type="dxa"/>
            <w:tcBorders/>
            <w:vAlign w:val="center"/>
          </w:tcPr>
          <w:p>
            <w:pPr>
              <w:pStyle w:val="TableContents"/>
              <w:bidi w:val="0"/>
              <w:spacing w:before="0" w:after="283"/>
              <w:jc w:val="left"/>
              <w:rPr/>
            </w:pPr>
            <w:r>
              <w:rPr/>
              <w:t> </w:t>
            </w:r>
          </w:p>
        </w:tc>
        <w:tc>
          <w:tcPr>
            <w:tcW w:w="194" w:type="dxa"/>
            <w:tcBorders>
              <w:bottom w:val="double" w:sz="10" w:space="0" w:color="000000"/>
            </w:tcBorders>
            <w:tcMar>
              <w:bottom w:w="28" w:type="dxa"/>
            </w:tcMar>
            <w:vAlign w:val="center"/>
          </w:tcPr>
          <w:p>
            <w:pPr>
              <w:pStyle w:val="TableContents"/>
              <w:bidi w:val="0"/>
              <w:spacing w:before="0" w:after="283"/>
              <w:jc w:val="left"/>
              <w:rPr/>
            </w:pPr>
            <w:r>
              <w:rPr/>
              <w:t>$</w:t>
            </w:r>
          </w:p>
        </w:tc>
        <w:tc>
          <w:tcPr>
            <w:tcW w:w="897" w:type="dxa"/>
            <w:tcBorders>
              <w:bottom w:val="double" w:sz="10" w:space="0" w:color="000000"/>
            </w:tcBorders>
            <w:tcMar>
              <w:bottom w:w="28" w:type="dxa"/>
            </w:tcMar>
            <w:vAlign w:val="center"/>
          </w:tcPr>
          <w:p>
            <w:pPr>
              <w:pStyle w:val="TableContents"/>
              <w:bidi w:val="0"/>
              <w:spacing w:before="0" w:after="283"/>
              <w:jc w:val="right"/>
              <w:rPr/>
            </w:pPr>
            <w:r>
              <w:rPr/>
              <w:t>17,821</w:t>
            </w:r>
          </w:p>
        </w:tc>
        <w:tc>
          <w:tcPr>
            <w:tcW w:w="14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94" w:type="dxa"/>
            <w:tcBorders>
              <w:bottom w:val="double" w:sz="10" w:space="0" w:color="000000"/>
            </w:tcBorders>
            <w:tcMar>
              <w:bottom w:w="28" w:type="dxa"/>
            </w:tcMar>
            <w:vAlign w:val="center"/>
          </w:tcPr>
          <w:p>
            <w:pPr>
              <w:pStyle w:val="TableContents"/>
              <w:bidi w:val="0"/>
              <w:spacing w:before="0" w:after="283"/>
              <w:jc w:val="left"/>
              <w:rPr/>
            </w:pPr>
            <w:r>
              <w:rPr/>
              <w:t>$</w:t>
            </w:r>
          </w:p>
        </w:tc>
        <w:tc>
          <w:tcPr>
            <w:tcW w:w="1034" w:type="dxa"/>
            <w:tcBorders>
              <w:bottom w:val="double" w:sz="10" w:space="0" w:color="000000"/>
            </w:tcBorders>
            <w:tcMar>
              <w:bottom w:w="28" w:type="dxa"/>
            </w:tcMar>
            <w:vAlign w:val="center"/>
          </w:tcPr>
          <w:p>
            <w:pPr>
              <w:pStyle w:val="TableContents"/>
              <w:bidi w:val="0"/>
              <w:spacing w:before="0" w:after="283"/>
              <w:jc w:val="right"/>
              <w:rPr/>
            </w:pPr>
            <w:r>
              <w:rPr/>
              <w:t>32,241</w:t>
            </w:r>
          </w:p>
        </w:tc>
        <w:tc>
          <w:tcPr>
            <w:tcW w:w="161" w:type="dxa"/>
            <w:tcBorders/>
            <w:vAlign w:val="center"/>
          </w:tcPr>
          <w:p>
            <w:pPr>
              <w:pStyle w:val="TableContents"/>
              <w:bidi w:val="0"/>
              <w:spacing w:before="0" w:after="283"/>
              <w:ind w:left="0" w:right="0" w:hanging="360"/>
              <w:jc w:val="left"/>
              <w:rPr/>
            </w:pPr>
            <w:r>
              <w:rPr/>
              <w:t> </w:t>
            </w:r>
          </w:p>
        </w:tc>
      </w:tr>
      <w:tr>
        <w:trPr/>
        <w:tc>
          <w:tcPr>
            <w:tcW w:w="7391"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 </w:t>
            </w:r>
          </w:p>
        </w:tc>
        <w:tc>
          <w:tcPr>
            <w:tcW w:w="14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pPr>
            <w:r>
              <w:rPr/>
              <w:t> </w:t>
            </w:r>
          </w:p>
        </w:tc>
        <w:tc>
          <w:tcPr>
            <w:tcW w:w="161" w:type="dxa"/>
            <w:tcBorders/>
            <w:shd w:fill="CCEEFF" w:val="clear"/>
            <w:vAlign w:val="center"/>
          </w:tcPr>
          <w:p>
            <w:pPr>
              <w:pStyle w:val="TableContents"/>
              <w:bidi w:val="0"/>
              <w:spacing w:before="0" w:after="283"/>
              <w:ind w:left="0" w:right="0" w:hanging="360"/>
              <w:jc w:val="left"/>
              <w:rPr/>
            </w:pPr>
            <w:r>
              <w:rPr/>
              <w:t> </w:t>
            </w:r>
          </w:p>
        </w:tc>
      </w:tr>
      <w:tr>
        <w:trPr/>
        <w:tc>
          <w:tcPr>
            <w:tcW w:w="7391" w:type="dxa"/>
            <w:tcBorders/>
            <w:vAlign w:val="center"/>
          </w:tcPr>
          <w:p>
            <w:pPr>
              <w:pStyle w:val="TableContents"/>
              <w:bidi w:val="0"/>
              <w:spacing w:before="0" w:after="283"/>
              <w:jc w:val="left"/>
              <w:rPr>
                <w:b/>
              </w:rPr>
            </w:pPr>
            <w:r>
              <w:rPr>
                <w:b/>
              </w:rPr>
              <w:t>Supplemental disclosure of non-cash investing and financing activities:</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897" w:type="dxa"/>
            <w:tcBorders/>
            <w:vAlign w:val="center"/>
          </w:tcPr>
          <w:p>
            <w:pPr>
              <w:pStyle w:val="TableContents"/>
              <w:bidi w:val="0"/>
              <w:spacing w:before="0" w:after="283"/>
              <w:jc w:val="right"/>
              <w:rPr/>
            </w:pPr>
            <w:r>
              <w:rPr/>
              <w:t> </w:t>
            </w:r>
          </w:p>
        </w:tc>
        <w:tc>
          <w:tcPr>
            <w:tcW w:w="14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1034" w:type="dxa"/>
            <w:tcBorders/>
            <w:vAlign w:val="center"/>
          </w:tcPr>
          <w:p>
            <w:pPr>
              <w:pStyle w:val="TableContents"/>
              <w:bidi w:val="0"/>
              <w:spacing w:before="0" w:after="283"/>
              <w:jc w:val="right"/>
              <w:rPr/>
            </w:pPr>
            <w:r>
              <w:rPr/>
              <w:t> </w:t>
            </w:r>
          </w:p>
        </w:tc>
        <w:tc>
          <w:tcPr>
            <w:tcW w:w="161" w:type="dxa"/>
            <w:tcBorders/>
            <w:vAlign w:val="center"/>
          </w:tcPr>
          <w:p>
            <w:pPr>
              <w:pStyle w:val="TableContents"/>
              <w:bidi w:val="0"/>
              <w:spacing w:before="0" w:after="283"/>
              <w:ind w:left="0" w:right="0" w:hanging="360"/>
              <w:jc w:val="left"/>
              <w:rPr/>
            </w:pPr>
            <w:r>
              <w:rPr/>
              <w:t> </w:t>
            </w:r>
          </w:p>
        </w:tc>
      </w:tr>
      <w:tr>
        <w:trPr/>
        <w:tc>
          <w:tcPr>
            <w:tcW w:w="7391" w:type="dxa"/>
            <w:tcBorders/>
            <w:shd w:fill="CCEEFF" w:val="clear"/>
            <w:vAlign w:val="center"/>
          </w:tcPr>
          <w:p>
            <w:pPr>
              <w:pStyle w:val="TableContents"/>
              <w:bidi w:val="0"/>
              <w:spacing w:before="0" w:after="283"/>
              <w:jc w:val="left"/>
              <w:rPr/>
            </w:pPr>
            <w:r>
              <w:rPr/>
              <w:t>Proceeds from exercise of stock options included in other current assets and additional paid-in-capital</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w:t>
            </w:r>
          </w:p>
        </w:tc>
        <w:tc>
          <w:tcPr>
            <w:tcW w:w="897" w:type="dxa"/>
            <w:tcBorders/>
            <w:shd w:fill="CCEEFF" w:val="clear"/>
            <w:vAlign w:val="center"/>
          </w:tcPr>
          <w:p>
            <w:pPr>
              <w:pStyle w:val="TableContents"/>
              <w:bidi w:val="0"/>
              <w:spacing w:before="0" w:after="283"/>
              <w:jc w:val="right"/>
              <w:rPr/>
            </w:pPr>
            <w:r>
              <w:rPr/>
              <w:t>412</w:t>
            </w:r>
          </w:p>
        </w:tc>
        <w:tc>
          <w:tcPr>
            <w:tcW w:w="14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w:t>
            </w:r>
          </w:p>
        </w:tc>
        <w:tc>
          <w:tcPr>
            <w:tcW w:w="1034" w:type="dxa"/>
            <w:tcBorders/>
            <w:shd w:fill="CCEEFF" w:val="clear"/>
            <w:vAlign w:val="center"/>
          </w:tcPr>
          <w:p>
            <w:pPr>
              <w:pStyle w:val="TableContents"/>
              <w:bidi w:val="0"/>
              <w:spacing w:before="0" w:after="0"/>
              <w:jc w:val="right"/>
              <w:rPr/>
            </w:pPr>
            <w:r>
              <w:rPr/>
              <w:t>-</w:t>
            </w:r>
          </w:p>
        </w:tc>
        <w:tc>
          <w:tcPr>
            <w:tcW w:w="161" w:type="dxa"/>
            <w:tcBorders/>
            <w:shd w:fill="CCEEFF" w:val="clear"/>
            <w:vAlign w:val="center"/>
          </w:tcPr>
          <w:p>
            <w:pPr>
              <w:pStyle w:val="TableContents"/>
              <w:bidi w:val="0"/>
              <w:spacing w:before="0" w:after="283"/>
              <w:ind w:left="0" w:right="0" w:hanging="360"/>
              <w:jc w:val="left"/>
              <w:rPr/>
            </w:pPr>
            <w:r>
              <w:rPr/>
              <w:t> </w:t>
            </w:r>
          </w:p>
        </w:tc>
      </w:tr>
      <w:tr>
        <w:trPr/>
        <w:tc>
          <w:tcPr>
            <w:tcW w:w="7391" w:type="dxa"/>
            <w:tcBorders/>
            <w:vAlign w:val="center"/>
          </w:tcPr>
          <w:p>
            <w:pPr>
              <w:pStyle w:val="TableContents"/>
              <w:bidi w:val="0"/>
              <w:spacing w:before="0" w:after="283"/>
              <w:jc w:val="left"/>
              <w:rPr/>
            </w:pPr>
            <w:r>
              <w:rPr/>
              <w:t>Purchase of property and equipment included in accounts payable and property and equipment</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w:t>
            </w:r>
          </w:p>
        </w:tc>
        <w:tc>
          <w:tcPr>
            <w:tcW w:w="897" w:type="dxa"/>
            <w:tcBorders/>
            <w:vAlign w:val="center"/>
          </w:tcPr>
          <w:p>
            <w:pPr>
              <w:pStyle w:val="TableContents"/>
              <w:bidi w:val="0"/>
              <w:spacing w:before="0" w:after="283"/>
              <w:jc w:val="right"/>
              <w:rPr/>
            </w:pPr>
            <w:r>
              <w:rPr/>
              <w:t>389</w:t>
            </w:r>
          </w:p>
        </w:tc>
        <w:tc>
          <w:tcPr>
            <w:tcW w:w="14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w:t>
            </w:r>
          </w:p>
        </w:tc>
        <w:tc>
          <w:tcPr>
            <w:tcW w:w="1034" w:type="dxa"/>
            <w:tcBorders/>
            <w:vAlign w:val="center"/>
          </w:tcPr>
          <w:p>
            <w:pPr>
              <w:pStyle w:val="TableContents"/>
              <w:bidi w:val="0"/>
              <w:spacing w:before="0" w:after="0"/>
              <w:jc w:val="right"/>
              <w:rPr/>
            </w:pPr>
            <w:r>
              <w:rPr/>
              <w:t>-</w:t>
            </w:r>
          </w:p>
        </w:tc>
        <w:tc>
          <w:tcPr>
            <w:tcW w:w="161" w:type="dxa"/>
            <w:tcBorders/>
            <w:vAlign w:val="center"/>
          </w:tcPr>
          <w:p>
            <w:pPr>
              <w:pStyle w:val="TableContents"/>
              <w:bidi w:val="0"/>
              <w:spacing w:before="0" w:after="283"/>
              <w:ind w:left="0" w:right="0" w:hanging="360"/>
              <w:jc w:val="left"/>
              <w:rPr/>
            </w:pPr>
            <w:r>
              <w:rPr/>
              <w:t> </w:t>
            </w:r>
          </w:p>
        </w:tc>
      </w:tr>
      <w:tr>
        <w:trPr/>
        <w:tc>
          <w:tcPr>
            <w:tcW w:w="7391"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 </w:t>
            </w:r>
          </w:p>
        </w:tc>
        <w:tc>
          <w:tcPr>
            <w:tcW w:w="14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pPr>
            <w:r>
              <w:rPr/>
              <w:t> </w:t>
            </w:r>
          </w:p>
        </w:tc>
        <w:tc>
          <w:tcPr>
            <w:tcW w:w="161" w:type="dxa"/>
            <w:tcBorders/>
            <w:shd w:fill="CCEEFF" w:val="clear"/>
            <w:vAlign w:val="center"/>
          </w:tcPr>
          <w:p>
            <w:pPr>
              <w:pStyle w:val="TableContents"/>
              <w:bidi w:val="0"/>
              <w:spacing w:before="0" w:after="283"/>
              <w:ind w:left="0" w:right="0" w:hanging="360"/>
              <w:jc w:val="left"/>
              <w:rPr/>
            </w:pPr>
            <w:r>
              <w:rPr/>
              <w:t> </w:t>
            </w:r>
          </w:p>
        </w:tc>
      </w:tr>
      <w:tr>
        <w:trPr/>
        <w:tc>
          <w:tcPr>
            <w:tcW w:w="7391" w:type="dxa"/>
            <w:tcBorders/>
            <w:vAlign w:val="center"/>
          </w:tcPr>
          <w:p>
            <w:pPr>
              <w:pStyle w:val="TableContents"/>
              <w:bidi w:val="0"/>
              <w:spacing w:before="0" w:after="283"/>
              <w:jc w:val="left"/>
              <w:rPr/>
            </w:pPr>
            <w:r>
              <w:rPr/>
              <w:t>Reconciliation of cash and cash equivalents and restricted cash to the condensed consolidated balance sheets:</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897" w:type="dxa"/>
            <w:tcBorders/>
            <w:vAlign w:val="center"/>
          </w:tcPr>
          <w:p>
            <w:pPr>
              <w:pStyle w:val="TableContents"/>
              <w:bidi w:val="0"/>
              <w:spacing w:before="0" w:after="283"/>
              <w:jc w:val="right"/>
              <w:rPr/>
            </w:pPr>
            <w:r>
              <w:rPr/>
              <w:t> </w:t>
            </w:r>
          </w:p>
        </w:tc>
        <w:tc>
          <w:tcPr>
            <w:tcW w:w="14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1034" w:type="dxa"/>
            <w:tcBorders/>
            <w:vAlign w:val="center"/>
          </w:tcPr>
          <w:p>
            <w:pPr>
              <w:pStyle w:val="TableContents"/>
              <w:bidi w:val="0"/>
              <w:spacing w:before="0" w:after="283"/>
              <w:jc w:val="right"/>
              <w:rPr/>
            </w:pPr>
            <w:r>
              <w:rPr/>
              <w:t> </w:t>
            </w:r>
          </w:p>
        </w:tc>
        <w:tc>
          <w:tcPr>
            <w:tcW w:w="161" w:type="dxa"/>
            <w:tcBorders/>
            <w:vAlign w:val="center"/>
          </w:tcPr>
          <w:p>
            <w:pPr>
              <w:pStyle w:val="TableContents"/>
              <w:bidi w:val="0"/>
              <w:spacing w:before="0" w:after="283"/>
              <w:ind w:left="0" w:right="0" w:hanging="360"/>
              <w:jc w:val="left"/>
              <w:rPr/>
            </w:pPr>
            <w:r>
              <w:rPr/>
              <w:t> </w:t>
            </w:r>
          </w:p>
        </w:tc>
      </w:tr>
      <w:tr>
        <w:trPr/>
        <w:tc>
          <w:tcPr>
            <w:tcW w:w="7391" w:type="dxa"/>
            <w:tcBorders/>
            <w:shd w:fill="CCEEFF" w:val="clear"/>
            <w:vAlign w:val="center"/>
          </w:tcPr>
          <w:p>
            <w:pPr>
              <w:pStyle w:val="TableContents"/>
              <w:bidi w:val="0"/>
              <w:spacing w:before="0" w:after="283"/>
              <w:jc w:val="left"/>
              <w:rPr/>
            </w:pPr>
            <w:r>
              <w:rPr/>
              <w:t>Cash and cash equivalents</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w:t>
            </w:r>
          </w:p>
        </w:tc>
        <w:tc>
          <w:tcPr>
            <w:tcW w:w="897" w:type="dxa"/>
            <w:tcBorders/>
            <w:shd w:fill="CCEEFF" w:val="clear"/>
            <w:vAlign w:val="center"/>
          </w:tcPr>
          <w:p>
            <w:pPr>
              <w:pStyle w:val="TableContents"/>
              <w:bidi w:val="0"/>
              <w:spacing w:before="0" w:after="283"/>
              <w:jc w:val="right"/>
              <w:rPr/>
            </w:pPr>
            <w:r>
              <w:rPr/>
              <w:t>17,076</w:t>
            </w:r>
          </w:p>
        </w:tc>
        <w:tc>
          <w:tcPr>
            <w:tcW w:w="14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w:t>
            </w:r>
          </w:p>
        </w:tc>
        <w:tc>
          <w:tcPr>
            <w:tcW w:w="1034" w:type="dxa"/>
            <w:tcBorders/>
            <w:shd w:fill="CCEEFF" w:val="clear"/>
            <w:vAlign w:val="center"/>
          </w:tcPr>
          <w:p>
            <w:pPr>
              <w:pStyle w:val="TableContents"/>
              <w:bidi w:val="0"/>
              <w:spacing w:before="0" w:after="283"/>
              <w:jc w:val="right"/>
              <w:rPr/>
            </w:pPr>
            <w:r>
              <w:rPr/>
              <w:t>31,496</w:t>
            </w:r>
          </w:p>
        </w:tc>
        <w:tc>
          <w:tcPr>
            <w:tcW w:w="161" w:type="dxa"/>
            <w:tcBorders/>
            <w:shd w:fill="CCEEFF" w:val="clear"/>
            <w:vAlign w:val="center"/>
          </w:tcPr>
          <w:p>
            <w:pPr>
              <w:pStyle w:val="TableContents"/>
              <w:bidi w:val="0"/>
              <w:spacing w:before="0" w:after="283"/>
              <w:ind w:left="0" w:right="0" w:hanging="360"/>
              <w:jc w:val="left"/>
              <w:rPr/>
            </w:pPr>
            <w:r>
              <w:rPr/>
              <w:t> </w:t>
            </w:r>
          </w:p>
        </w:tc>
      </w:tr>
      <w:tr>
        <w:trPr/>
        <w:tc>
          <w:tcPr>
            <w:tcW w:w="7391" w:type="dxa"/>
            <w:tcBorders/>
            <w:vAlign w:val="center"/>
          </w:tcPr>
          <w:p>
            <w:pPr>
              <w:pStyle w:val="TableContents"/>
              <w:bidi w:val="0"/>
              <w:spacing w:before="0" w:after="283"/>
              <w:jc w:val="left"/>
              <w:rPr/>
            </w:pPr>
            <w:r>
              <w:rPr/>
              <w:t>Restricted cash, non-current</w:t>
            </w:r>
          </w:p>
        </w:tc>
        <w:tc>
          <w:tcPr>
            <w:tcW w:w="90" w:type="dxa"/>
            <w:tcBorders/>
            <w:vAlign w:val="center"/>
          </w:tcPr>
          <w:p>
            <w:pPr>
              <w:pStyle w:val="TableContents"/>
              <w:bidi w:val="0"/>
              <w:spacing w:before="0" w:after="283"/>
              <w:jc w:val="left"/>
              <w:rPr/>
            </w:pPr>
            <w:r>
              <w:rPr/>
              <w:t> </w:t>
            </w:r>
          </w:p>
        </w:tc>
        <w:tc>
          <w:tcPr>
            <w:tcW w:w="194" w:type="dxa"/>
            <w:tcBorders>
              <w:bottom w:val="single" w:sz="12" w:space="0" w:color="000000"/>
            </w:tcBorders>
            <w:tcMar>
              <w:bottom w:w="28" w:type="dxa"/>
            </w:tcMar>
            <w:vAlign w:val="center"/>
          </w:tcPr>
          <w:p>
            <w:pPr>
              <w:pStyle w:val="TableContents"/>
              <w:bidi w:val="0"/>
              <w:spacing w:before="0" w:after="283"/>
              <w:jc w:val="left"/>
              <w:rPr/>
            </w:pPr>
            <w:r>
              <w:rPr/>
              <w:t> </w:t>
            </w:r>
          </w:p>
        </w:tc>
        <w:tc>
          <w:tcPr>
            <w:tcW w:w="897" w:type="dxa"/>
            <w:tcBorders>
              <w:bottom w:val="single" w:sz="12" w:space="0" w:color="000000"/>
            </w:tcBorders>
            <w:tcMar>
              <w:bottom w:w="28" w:type="dxa"/>
            </w:tcMar>
            <w:vAlign w:val="center"/>
          </w:tcPr>
          <w:p>
            <w:pPr>
              <w:pStyle w:val="TableContents"/>
              <w:bidi w:val="0"/>
              <w:spacing w:before="0" w:after="283"/>
              <w:jc w:val="right"/>
              <w:rPr/>
            </w:pPr>
            <w:r>
              <w:rPr/>
              <w:t>745</w:t>
            </w:r>
          </w:p>
        </w:tc>
        <w:tc>
          <w:tcPr>
            <w:tcW w:w="14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94" w:type="dxa"/>
            <w:tcBorders>
              <w:bottom w:val="single" w:sz="12" w:space="0" w:color="000000"/>
            </w:tcBorders>
            <w:tcMar>
              <w:bottom w:w="28" w:type="dxa"/>
            </w:tcMar>
            <w:vAlign w:val="center"/>
          </w:tcPr>
          <w:p>
            <w:pPr>
              <w:pStyle w:val="TableContents"/>
              <w:bidi w:val="0"/>
              <w:spacing w:before="0" w:after="283"/>
              <w:jc w:val="left"/>
              <w:rPr/>
            </w:pPr>
            <w:r>
              <w:rPr/>
              <w:t> </w:t>
            </w:r>
          </w:p>
        </w:tc>
        <w:tc>
          <w:tcPr>
            <w:tcW w:w="1034" w:type="dxa"/>
            <w:tcBorders>
              <w:bottom w:val="single" w:sz="12" w:space="0" w:color="000000"/>
            </w:tcBorders>
            <w:tcMar>
              <w:bottom w:w="28" w:type="dxa"/>
            </w:tcMar>
            <w:vAlign w:val="center"/>
          </w:tcPr>
          <w:p>
            <w:pPr>
              <w:pStyle w:val="TableContents"/>
              <w:bidi w:val="0"/>
              <w:spacing w:before="0" w:after="283"/>
              <w:jc w:val="right"/>
              <w:rPr/>
            </w:pPr>
            <w:r>
              <w:rPr/>
              <w:t>745</w:t>
            </w:r>
          </w:p>
        </w:tc>
        <w:tc>
          <w:tcPr>
            <w:tcW w:w="161" w:type="dxa"/>
            <w:tcBorders/>
            <w:vAlign w:val="center"/>
          </w:tcPr>
          <w:p>
            <w:pPr>
              <w:pStyle w:val="TableContents"/>
              <w:bidi w:val="0"/>
              <w:spacing w:before="0" w:after="283"/>
              <w:ind w:left="0" w:right="0" w:hanging="360"/>
              <w:jc w:val="left"/>
              <w:rPr/>
            </w:pPr>
            <w:r>
              <w:rPr/>
              <w:t> </w:t>
            </w:r>
          </w:p>
        </w:tc>
      </w:tr>
      <w:tr>
        <w:trPr/>
        <w:tc>
          <w:tcPr>
            <w:tcW w:w="7391" w:type="dxa"/>
            <w:tcBorders/>
            <w:shd w:fill="CCEEFF" w:val="clear"/>
            <w:vAlign w:val="center"/>
          </w:tcPr>
          <w:p>
            <w:pPr>
              <w:pStyle w:val="TableContents"/>
              <w:bidi w:val="0"/>
              <w:spacing w:before="0" w:after="283"/>
              <w:jc w:val="left"/>
              <w:rPr/>
            </w:pPr>
            <w:r>
              <w:rPr/>
              <w:t>Cash and cash equivalents and restricted cash</w:t>
            </w:r>
          </w:p>
        </w:tc>
        <w:tc>
          <w:tcPr>
            <w:tcW w:w="90" w:type="dxa"/>
            <w:tcBorders/>
            <w:shd w:fill="CCEEFF" w:val="clear"/>
            <w:vAlign w:val="center"/>
          </w:tcPr>
          <w:p>
            <w:pPr>
              <w:pStyle w:val="TableContents"/>
              <w:bidi w:val="0"/>
              <w:spacing w:before="0" w:after="283"/>
              <w:jc w:val="left"/>
              <w:rPr/>
            </w:pPr>
            <w:r>
              <w:rPr/>
              <w:t> </w:t>
            </w:r>
          </w:p>
        </w:tc>
        <w:tc>
          <w:tcPr>
            <w:tcW w:w="19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97" w:type="dxa"/>
            <w:tcBorders>
              <w:bottom w:val="double" w:sz="10" w:space="0" w:color="000000"/>
            </w:tcBorders>
            <w:shd w:fill="CCEEFF" w:val="clear"/>
            <w:tcMar>
              <w:bottom w:w="28" w:type="dxa"/>
            </w:tcMar>
            <w:vAlign w:val="center"/>
          </w:tcPr>
          <w:p>
            <w:pPr>
              <w:pStyle w:val="TableContents"/>
              <w:bidi w:val="0"/>
              <w:spacing w:before="0" w:after="283"/>
              <w:jc w:val="right"/>
              <w:rPr/>
            </w:pPr>
            <w:r>
              <w:rPr/>
              <w:t>17,821</w:t>
            </w:r>
          </w:p>
        </w:tc>
        <w:tc>
          <w:tcPr>
            <w:tcW w:w="14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9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34" w:type="dxa"/>
            <w:tcBorders>
              <w:bottom w:val="double" w:sz="10" w:space="0" w:color="000000"/>
            </w:tcBorders>
            <w:shd w:fill="CCEEFF" w:val="clear"/>
            <w:tcMar>
              <w:bottom w:w="28" w:type="dxa"/>
            </w:tcMar>
            <w:vAlign w:val="center"/>
          </w:tcPr>
          <w:p>
            <w:pPr>
              <w:pStyle w:val="TableContents"/>
              <w:bidi w:val="0"/>
              <w:spacing w:before="0" w:after="283"/>
              <w:jc w:val="right"/>
              <w:rPr/>
            </w:pPr>
            <w:r>
              <w:rPr/>
              <w:t>32,241</w:t>
            </w:r>
          </w:p>
        </w:tc>
        <w:tc>
          <w:tcPr>
            <w:tcW w:w="161"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Protara Therapeutics,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a_007"/>
      <w:bookmarkEnd w:id="8"/>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(amounts in thousands, except share and per share data)</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Organization and Nature of the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Protara Therapeutics, Inc., and its consolidated subsidiaries, or Protara or the Company, is a clinical-stage biopharmaceutical company committed to advancing transformative therapies for the treatment of cancer and rare diseases. Protara’s portfolio includes two development programs utilizing TARA-002, an investigational cell therapy in development for the treatment of non-muscle invasive bladder cancer, or NMIBC, and lymphatic malformations, or LMs. Additionally, the Company’s portfolio includes Intravenous, or IV, Choline Chloride, an investigational phospholipid substrate replacement therapy in development for patients receiving parenteral support, or PS.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Liquidity and Capital Resources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in the business of developing biopharmaceuticals and has no current or near-term revenues. The Company has incurred substantial clinical and other costs in its drug development efforts. The Company will need to raise additional capital in order to fully realize management’s plans.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believes that its current financial resources are sufficient to satisfy the Company’s estimated liquidity needs for at least 12 months from the date of issuance of these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Summary of 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significant accounting policies are disclosed in the audited consolidated financial statements and the notes thereto in the Company’s Annual Report on Form 10-K for the year ended December 31, 2025, filed with the United States Securities and Exchange Commission, or SEC, on March 10, 2026, or the Annual Report on Form 10-K. There were no changes to the Company’s significant accounting policies as described in the Annual Report on Form 10-K.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condensed consolidated financial statements and the related disclosures as of June 30, 2026 and for the three and six months ended June 30, 2026 and 2025 are unaudited and have been prepared in accordance with accounting principles generally accepted in the United States of America, or GAAP, and the rules and regulations of the SEC, for interim financial statements. Accordingly, they do not include all of the information and footnotes required by GAAP for complete financial statements. These interim condensed consolidated financial statements should be read in conjunction with the 2025 audited consolidated financial statements and notes included in the Annual Report on Form 10-K. The December 31, 2025 consolidated balance sheet included herein was derived from the audited financial statements as of that date but does not include all disclosures including notes required by GAAP for complete financial statements. In the opinion of management, the condensed consolidated financial statements reflect all adjustments, consisting of normal and recurring adjustments, necessary for the fair presentation of the Company’s financial position and results of operations for the three and six months ended June 30, 2026 and 2025. The results of operations for the interim periods are not necessarily indicative of the results to be expected for the year ending December 31, 2026 or any other interim period or future year or period.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Protara Therapeutics,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(amounts in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Principles of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condensed consolidated financial statements include the accounts of the Company and its wholly owned subsidiaries. All intercompany balances and transactions have been eliminated in the accompanying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 Accounting Pronouncements Not Yet Adopted</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November 2024, the Financial Accounting Standards Board, or the FASB, issued ASU 2024-03 – </w:t>
      </w:r>
      <w:r>
        <w:rPr>
          <w:rFonts w:ascii="Times New Roman;Times;Serif" w:hAnsi="Times New Roman;Times;Serif"/>
          <w:b w:val="false"/>
          <w:i/>
          <w:caps w:val="false"/>
          <w:smallCaps w:val="false"/>
          <w:sz w:val="20"/>
        </w:rPr>
        <w:t>Income Statement – Reporting Comprehensive Income – Expense Disaggregation Disclosures</w:t>
      </w:r>
      <w:r>
        <w:rPr>
          <w:rFonts w:ascii="Times New Roman;Times;Serif" w:hAnsi="Times New Roman;Times;Serif"/>
          <w:b w:val="false"/>
          <w:i w:val="false"/>
          <w:caps w:val="false"/>
          <w:smallCaps w:val="false"/>
          <w:sz w:val="20"/>
        </w:rPr>
        <w:t>, which enhances the disclosures for various types of expenses. The standard is effective for public companies for annual periods beginning after December 15, 2026. Early adoption is available. The Company is still evaluating the full extent of the potential impact of the adoption of ASU 2024-03.</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Subsequent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evaluated subsequent events and transactions that occurred after the balance sheet date up to the date that the financial statements were available to be issued. The Company did not identify any subsequent events that would have required adjustment or disclosure in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Fair Value of Financial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present the Company’s financial assets and liabilities that are measured and carried at fair value and indicate the level within the fair value hierarchy of valuation techniques it utilizes to determine such fair value. The accounting policies of fair value measurements are the same as those described in Part II, Item 8, “Financial Statements and Supplementary Data—Summary of Significant Accounting Policies” in the Company’s Annual Report on Form 10-K:</w:t>
      </w:r>
    </w:p>
    <w:p>
      <w:pPr>
        <w:pStyle w:val="TextBody"/>
        <w:bidi w:val="0"/>
        <w:spacing w:before="0" w:after="0"/>
        <w:ind w:left="0" w:right="0" w:hanging="0"/>
        <w:jc w:val="left"/>
        <w:rPr>
          <w:caps w:val="false"/>
          <w:smallCaps w:val="false"/>
        </w:rPr>
      </w:pPr>
      <w:r>
        <w:rPr>
          <w:caps w:val="false"/>
          <w:smallCaps w:val="false"/>
        </w:rPr>
        <w:t> </w:t>
      </w:r>
    </w:p>
    <w:tbl>
      <w:tblPr>
        <w:tblW w:w="7194" w:type="dxa"/>
        <w:jc w:val="left"/>
        <w:tblInd w:w="0" w:type="dxa"/>
        <w:tblLayout w:type="fixed"/>
        <w:tblCellMar>
          <w:top w:w="0" w:type="dxa"/>
          <w:left w:w="0" w:type="dxa"/>
          <w:bottom w:w="0" w:type="dxa"/>
          <w:right w:w="0" w:type="dxa"/>
        </w:tblCellMar>
      </w:tblPr>
      <w:tblGrid>
        <w:gridCol w:w="2765"/>
        <w:gridCol w:w="90"/>
        <w:gridCol w:w="170"/>
        <w:gridCol w:w="710"/>
        <w:gridCol w:w="90"/>
        <w:gridCol w:w="90"/>
        <w:gridCol w:w="170"/>
        <w:gridCol w:w="830"/>
        <w:gridCol w:w="90"/>
        <w:gridCol w:w="90"/>
        <w:gridCol w:w="280"/>
        <w:gridCol w:w="504"/>
        <w:gridCol w:w="90"/>
        <w:gridCol w:w="90"/>
        <w:gridCol w:w="170"/>
        <w:gridCol w:w="830"/>
        <w:gridCol w:w="135"/>
      </w:tblGrid>
      <w:tr>
        <w:trPr/>
        <w:tc>
          <w:tcPr>
            <w:tcW w:w="276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4204"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As of June 30, 2026</w:t>
            </w:r>
          </w:p>
        </w:tc>
        <w:tc>
          <w:tcPr>
            <w:tcW w:w="135" w:type="dxa"/>
            <w:tcBorders/>
            <w:vAlign w:val="center"/>
          </w:tcPr>
          <w:p>
            <w:pPr>
              <w:pStyle w:val="TableContents"/>
              <w:bidi w:val="0"/>
              <w:spacing w:before="0" w:after="283"/>
              <w:jc w:val="left"/>
              <w:rPr/>
            </w:pPr>
            <w:r>
              <w:rPr/>
              <w:t> </w:t>
            </w:r>
          </w:p>
        </w:tc>
      </w:tr>
      <w:tr>
        <w:trPr/>
        <w:tc>
          <w:tcPr>
            <w:tcW w:w="27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35" w:type="dxa"/>
            <w:tcBorders/>
            <w:vAlign w:val="center"/>
          </w:tcPr>
          <w:p>
            <w:pPr>
              <w:pStyle w:val="TableContents"/>
              <w:bidi w:val="0"/>
              <w:spacing w:before="0" w:after="283"/>
              <w:jc w:val="left"/>
              <w:rPr/>
            </w:pPr>
            <w:r>
              <w:rPr/>
              <w:t> </w:t>
            </w:r>
          </w:p>
        </w:tc>
      </w:tr>
      <w:tr>
        <w:trPr/>
        <w:tc>
          <w:tcPr>
            <w:tcW w:w="2765" w:type="dxa"/>
            <w:tcBorders/>
            <w:vAlign w:val="center"/>
          </w:tcPr>
          <w:p>
            <w:pPr>
              <w:pStyle w:val="TableContents"/>
              <w:bidi w:val="0"/>
              <w:spacing w:before="0" w:after="283"/>
              <w:jc w:val="left"/>
              <w:rPr/>
            </w:pPr>
            <w:r>
              <w:rPr/>
              <w:t>Cash and cash equivalents:</w:t>
            </w:r>
          </w:p>
        </w:tc>
        <w:tc>
          <w:tcPr>
            <w:tcW w:w="9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4"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27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Money market funds</w:t>
            </w:r>
            <w:r>
              <w:rPr>
                <w:rFonts w:ascii="Times New Roman;Times;Serif" w:hAnsi="Times New Roman;Times;Serif"/>
                <w:position w:val="7"/>
                <w:sz w:val="16"/>
                <w:sz w:val="20"/>
              </w:rPr>
              <w:t>(a)</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16,565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0"/>
              <w:jc w:val="right"/>
              <w:rPr/>
            </w:pPr>
            <w:r>
              <w:rPr/>
              <w:t>     </w:t>
            </w: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pPr>
            <w:r>
              <w:rPr/>
              <w:t>$</w:t>
            </w:r>
          </w:p>
        </w:tc>
        <w:tc>
          <w:tcPr>
            <w:tcW w:w="504" w:type="dxa"/>
            <w:tcBorders/>
            <w:shd w:fill="CCEEFF" w:val="clear"/>
            <w:vAlign w:val="center"/>
          </w:tcPr>
          <w:p>
            <w:pPr>
              <w:pStyle w:val="TableContents"/>
              <w:bidi w:val="0"/>
              <w:spacing w:before="0" w:after="0"/>
              <w:jc w:val="right"/>
              <w:rPr/>
            </w:pPr>
            <w:r>
              <w:rPr/>
              <w:t>   </w:t>
            </w: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16,565</w:t>
            </w:r>
          </w:p>
        </w:tc>
        <w:tc>
          <w:tcPr>
            <w:tcW w:w="135" w:type="dxa"/>
            <w:tcBorders/>
            <w:shd w:fill="CCEEFF" w:val="clear"/>
            <w:vAlign w:val="center"/>
          </w:tcPr>
          <w:p>
            <w:pPr>
              <w:pStyle w:val="TableContents"/>
              <w:bidi w:val="0"/>
              <w:spacing w:before="0" w:after="283"/>
              <w:jc w:val="left"/>
              <w:rPr/>
            </w:pPr>
            <w:r>
              <w:rPr/>
              <w:t> </w:t>
            </w:r>
          </w:p>
        </w:tc>
      </w:tr>
      <w:tr>
        <w:trPr/>
        <w:tc>
          <w:tcPr>
            <w:tcW w:w="2765" w:type="dxa"/>
            <w:tcBorders/>
            <w:vAlign w:val="center"/>
          </w:tcPr>
          <w:p>
            <w:pPr>
              <w:pStyle w:val="TableContents"/>
              <w:bidi w:val="0"/>
              <w:spacing w:before="0" w:after="283"/>
              <w:jc w:val="left"/>
              <w:rPr/>
            </w:pPr>
            <w:r>
              <w:rPr/>
              <w:t>Restricted cash, non-current: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left"/>
              <w:rPr/>
            </w:pPr>
            <w:r>
              <w:rPr/>
              <w:t> </w:t>
            </w:r>
          </w:p>
        </w:tc>
        <w:tc>
          <w:tcPr>
            <w:tcW w:w="504"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27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Money market funds</w:t>
            </w:r>
            <w:r>
              <w:rPr>
                <w:rFonts w:ascii="Times New Roman;Times;Serif" w:hAnsi="Times New Roman;Times;Serif"/>
                <w:position w:val="7"/>
                <w:sz w:val="16"/>
                <w:sz w:val="20"/>
              </w:rPr>
              <w:t>(b)</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745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pPr>
            <w:r>
              <w:rPr/>
              <w:t> </w:t>
            </w:r>
          </w:p>
        </w:tc>
        <w:tc>
          <w:tcPr>
            <w:tcW w:w="504"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745</w:t>
            </w:r>
          </w:p>
        </w:tc>
        <w:tc>
          <w:tcPr>
            <w:tcW w:w="135" w:type="dxa"/>
            <w:tcBorders/>
            <w:shd w:fill="CCEEFF" w:val="clear"/>
            <w:vAlign w:val="center"/>
          </w:tcPr>
          <w:p>
            <w:pPr>
              <w:pStyle w:val="TableContents"/>
              <w:bidi w:val="0"/>
              <w:spacing w:before="0" w:after="283"/>
              <w:jc w:val="left"/>
              <w:rPr/>
            </w:pPr>
            <w:r>
              <w:rPr/>
              <w:t> </w:t>
            </w:r>
          </w:p>
        </w:tc>
      </w:tr>
      <w:tr>
        <w:trPr/>
        <w:tc>
          <w:tcPr>
            <w:tcW w:w="2765" w:type="dxa"/>
            <w:tcBorders/>
            <w:vAlign w:val="center"/>
          </w:tcPr>
          <w:p>
            <w:pPr>
              <w:pStyle w:val="TableContents"/>
              <w:bidi w:val="0"/>
              <w:spacing w:before="0" w:after="283"/>
              <w:jc w:val="left"/>
              <w:rPr/>
            </w:pPr>
            <w:r>
              <w:rPr/>
              <w:t>Marketable debt securities: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left"/>
              <w:rPr/>
            </w:pPr>
            <w:r>
              <w:rPr/>
              <w:t> </w:t>
            </w:r>
          </w:p>
        </w:tc>
        <w:tc>
          <w:tcPr>
            <w:tcW w:w="504"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27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Corporate bonds</w:t>
            </w:r>
            <w:r>
              <w:rPr>
                <w:rFonts w:ascii="Times New Roman;Times;Serif" w:hAnsi="Times New Roman;Times;Serif"/>
                <w:position w:val="7"/>
                <w:sz w:val="16"/>
                <w:sz w:val="20"/>
              </w:rPr>
              <w:t>(c)</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128,810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pPr>
            <w:r>
              <w:rPr/>
              <w:t> </w:t>
            </w:r>
          </w:p>
        </w:tc>
        <w:tc>
          <w:tcPr>
            <w:tcW w:w="504"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128,810</w:t>
            </w:r>
          </w:p>
        </w:tc>
        <w:tc>
          <w:tcPr>
            <w:tcW w:w="135" w:type="dxa"/>
            <w:tcBorders/>
            <w:shd w:fill="CCEEFF" w:val="clear"/>
            <w:vAlign w:val="center"/>
          </w:tcPr>
          <w:p>
            <w:pPr>
              <w:pStyle w:val="TableContents"/>
              <w:bidi w:val="0"/>
              <w:spacing w:before="0" w:after="283"/>
              <w:jc w:val="left"/>
              <w:rPr/>
            </w:pPr>
            <w:r>
              <w:rPr/>
              <w:t> </w:t>
            </w:r>
          </w:p>
        </w:tc>
      </w:tr>
      <w:tr>
        <w:trPr/>
        <w:tc>
          <w:tcPr>
            <w:tcW w:w="27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Commercial paper</w:t>
            </w:r>
            <w:r>
              <w:rPr>
                <w:rFonts w:ascii="Times New Roman;Times;Serif" w:hAnsi="Times New Roman;Times;Serif"/>
                <w:position w:val="7"/>
                <w:sz w:val="16"/>
                <w:sz w:val="20"/>
              </w:rPr>
              <w:t>(c)</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10,962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left"/>
              <w:rPr/>
            </w:pPr>
            <w:r>
              <w:rPr/>
              <w:t> </w:t>
            </w:r>
          </w:p>
        </w:tc>
        <w:tc>
          <w:tcPr>
            <w:tcW w:w="504"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10,962</w:t>
            </w:r>
          </w:p>
        </w:tc>
        <w:tc>
          <w:tcPr>
            <w:tcW w:w="135" w:type="dxa"/>
            <w:tcBorders/>
            <w:vAlign w:val="center"/>
          </w:tcPr>
          <w:p>
            <w:pPr>
              <w:pStyle w:val="TableContents"/>
              <w:bidi w:val="0"/>
              <w:spacing w:before="0" w:after="283"/>
              <w:jc w:val="left"/>
              <w:rPr/>
            </w:pPr>
            <w:r>
              <w:rPr/>
              <w:t> </w:t>
            </w:r>
          </w:p>
        </w:tc>
      </w:tr>
      <w:tr>
        <w:trPr/>
        <w:tc>
          <w:tcPr>
            <w:tcW w:w="27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 Treasury securities</w:t>
            </w:r>
            <w:r>
              <w:rPr>
                <w:rFonts w:ascii="Times New Roman;Times;Serif" w:hAnsi="Times New Roman;Times;Serif"/>
                <w:position w:val="7"/>
                <w:sz w:val="16"/>
                <w:sz w:val="20"/>
              </w:rPr>
              <w:t>(c)</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pPr>
            <w:r>
              <w:rPr/>
              <w:t>5,002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04"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5,002</w:t>
            </w:r>
          </w:p>
        </w:tc>
        <w:tc>
          <w:tcPr>
            <w:tcW w:w="135" w:type="dxa"/>
            <w:tcBorders/>
            <w:shd w:fill="CCEEFF" w:val="clear"/>
            <w:vAlign w:val="center"/>
          </w:tcPr>
          <w:p>
            <w:pPr>
              <w:pStyle w:val="TableContents"/>
              <w:bidi w:val="0"/>
              <w:spacing w:before="0" w:after="283"/>
              <w:jc w:val="left"/>
              <w:rPr/>
            </w:pPr>
            <w:r>
              <w:rPr/>
              <w:t> </w:t>
            </w:r>
          </w:p>
        </w:tc>
      </w:tr>
      <w:tr>
        <w:trPr/>
        <w:tc>
          <w:tcPr>
            <w:tcW w:w="2765" w:type="dxa"/>
            <w:tcBorders/>
            <w:vAlign w:val="center"/>
          </w:tcPr>
          <w:p>
            <w:pPr>
              <w:pStyle w:val="TableContents"/>
              <w:bidi w:val="0"/>
              <w:spacing w:before="0" w:after="283"/>
              <w:jc w:val="left"/>
              <w:rPr/>
            </w:pPr>
            <w:r>
              <w:rPr/>
              <w:t>Total</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710" w:type="dxa"/>
            <w:tcBorders>
              <w:bottom w:val="double" w:sz="10" w:space="0" w:color="000000"/>
            </w:tcBorders>
            <w:tcMar>
              <w:bottom w:w="28" w:type="dxa"/>
            </w:tcMar>
            <w:vAlign w:val="center"/>
          </w:tcPr>
          <w:p>
            <w:pPr>
              <w:pStyle w:val="TableContents"/>
              <w:bidi w:val="0"/>
              <w:spacing w:before="0" w:after="283"/>
              <w:jc w:val="right"/>
              <w:rPr/>
            </w:pPr>
            <w:r>
              <w:rPr/>
              <w:t>22,312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830" w:type="dxa"/>
            <w:tcBorders>
              <w:bottom w:val="double" w:sz="10" w:space="0" w:color="000000"/>
            </w:tcBorders>
            <w:tcMar>
              <w:bottom w:w="28" w:type="dxa"/>
            </w:tcMar>
            <w:vAlign w:val="center"/>
          </w:tcPr>
          <w:p>
            <w:pPr>
              <w:pStyle w:val="TableContents"/>
              <w:bidi w:val="0"/>
              <w:spacing w:before="0" w:after="283"/>
              <w:jc w:val="right"/>
              <w:rPr/>
            </w:pPr>
            <w:r>
              <w:rPr/>
              <w:t>139,772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0" w:type="dxa"/>
            <w:tcBorders>
              <w:bottom w:val="double" w:sz="10" w:space="0" w:color="000000"/>
            </w:tcBorders>
            <w:tcMar>
              <w:bottom w:w="28" w:type="dxa"/>
            </w:tcMar>
            <w:vAlign w:val="center"/>
          </w:tcPr>
          <w:p>
            <w:pPr>
              <w:pStyle w:val="TableContents"/>
              <w:bidi w:val="0"/>
              <w:spacing w:before="0" w:after="283"/>
              <w:jc w:val="left"/>
              <w:rPr/>
            </w:pPr>
            <w:r>
              <w:rPr/>
              <w:t>$</w:t>
            </w:r>
          </w:p>
        </w:tc>
        <w:tc>
          <w:tcPr>
            <w:tcW w:w="504" w:type="dxa"/>
            <w:tcBorders>
              <w:bottom w:val="double" w:sz="10"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830" w:type="dxa"/>
            <w:tcBorders>
              <w:bottom w:val="double" w:sz="10" w:space="0" w:color="000000"/>
            </w:tcBorders>
            <w:tcMar>
              <w:bottom w:w="28" w:type="dxa"/>
            </w:tcMar>
            <w:vAlign w:val="center"/>
          </w:tcPr>
          <w:p>
            <w:pPr>
              <w:pStyle w:val="TableContents"/>
              <w:bidi w:val="0"/>
              <w:spacing w:before="0" w:after="283"/>
              <w:jc w:val="right"/>
              <w:rPr/>
            </w:pPr>
            <w:r>
              <w:rPr/>
              <w:t>162,084</w:t>
            </w:r>
          </w:p>
        </w:tc>
        <w:tc>
          <w:tcPr>
            <w:tcW w:w="13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Protara Therapeutics,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(amounts in thousands, except share and per share data)</w:t>
      </w:r>
    </w:p>
    <w:p>
      <w:pPr>
        <w:pStyle w:val="TextBody"/>
        <w:bidi w:val="0"/>
        <w:spacing w:before="0" w:after="0"/>
        <w:ind w:left="0" w:right="0" w:hanging="0"/>
        <w:jc w:val="left"/>
        <w:rPr>
          <w:caps w:val="false"/>
          <w:smallCaps w:val="false"/>
        </w:rPr>
      </w:pPr>
      <w:r>
        <w:rPr>
          <w:caps w:val="false"/>
          <w:smallCaps w:val="false"/>
        </w:rPr>
        <w:t> </w:t>
      </w:r>
    </w:p>
    <w:tbl>
      <w:tblPr>
        <w:tblW w:w="7194" w:type="dxa"/>
        <w:jc w:val="left"/>
        <w:tblInd w:w="0" w:type="dxa"/>
        <w:tblLayout w:type="fixed"/>
        <w:tblCellMar>
          <w:top w:w="0" w:type="dxa"/>
          <w:left w:w="0" w:type="dxa"/>
          <w:bottom w:w="0" w:type="dxa"/>
          <w:right w:w="0" w:type="dxa"/>
        </w:tblCellMar>
      </w:tblPr>
      <w:tblGrid>
        <w:gridCol w:w="2765"/>
        <w:gridCol w:w="90"/>
        <w:gridCol w:w="170"/>
        <w:gridCol w:w="710"/>
        <w:gridCol w:w="90"/>
        <w:gridCol w:w="90"/>
        <w:gridCol w:w="170"/>
        <w:gridCol w:w="830"/>
        <w:gridCol w:w="90"/>
        <w:gridCol w:w="90"/>
        <w:gridCol w:w="249"/>
        <w:gridCol w:w="535"/>
        <w:gridCol w:w="90"/>
        <w:gridCol w:w="90"/>
        <w:gridCol w:w="170"/>
        <w:gridCol w:w="830"/>
        <w:gridCol w:w="135"/>
      </w:tblGrid>
      <w:tr>
        <w:trPr/>
        <w:tc>
          <w:tcPr>
            <w:tcW w:w="276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4204"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As of December 31, 2025</w:t>
            </w:r>
          </w:p>
        </w:tc>
        <w:tc>
          <w:tcPr>
            <w:tcW w:w="135" w:type="dxa"/>
            <w:tcBorders/>
            <w:vAlign w:val="center"/>
          </w:tcPr>
          <w:p>
            <w:pPr>
              <w:pStyle w:val="TableContents"/>
              <w:bidi w:val="0"/>
              <w:spacing w:before="0" w:after="283"/>
              <w:jc w:val="left"/>
              <w:rPr/>
            </w:pPr>
            <w:r>
              <w:rPr/>
              <w:t> </w:t>
            </w:r>
          </w:p>
        </w:tc>
      </w:tr>
      <w:tr>
        <w:trPr/>
        <w:tc>
          <w:tcPr>
            <w:tcW w:w="276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35" w:type="dxa"/>
            <w:tcBorders/>
            <w:vAlign w:val="center"/>
          </w:tcPr>
          <w:p>
            <w:pPr>
              <w:pStyle w:val="TableContents"/>
              <w:bidi w:val="0"/>
              <w:spacing w:before="0" w:after="283"/>
              <w:jc w:val="left"/>
              <w:rPr/>
            </w:pPr>
            <w:r>
              <w:rPr/>
              <w:t> </w:t>
            </w:r>
          </w:p>
        </w:tc>
      </w:tr>
      <w:tr>
        <w:trPr/>
        <w:tc>
          <w:tcPr>
            <w:tcW w:w="2765" w:type="dxa"/>
            <w:tcBorders/>
            <w:vAlign w:val="center"/>
          </w:tcPr>
          <w:p>
            <w:pPr>
              <w:pStyle w:val="TableContents"/>
              <w:bidi w:val="0"/>
              <w:spacing w:before="0" w:after="283"/>
              <w:jc w:val="left"/>
              <w:rPr/>
            </w:pPr>
            <w:r>
              <w:rPr/>
              <w:t>Cash and cash equivalents:</w:t>
            </w:r>
          </w:p>
        </w:tc>
        <w:tc>
          <w:tcPr>
            <w:tcW w:w="9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4"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27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Money market funds</w:t>
            </w:r>
            <w:r>
              <w:rPr>
                <w:rFonts w:ascii="Times New Roman;Times;Serif" w:hAnsi="Times New Roman;Times;Serif"/>
                <w:position w:val="7"/>
                <w:sz w:val="16"/>
                <w:sz w:val="20"/>
              </w:rPr>
              <w:t>(a)</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45,355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0"/>
              <w:jc w:val="right"/>
              <w:rPr/>
            </w:pPr>
            <w:r>
              <w:rPr/>
              <w:t>    </w:t>
            </w: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w:t>
            </w:r>
          </w:p>
        </w:tc>
        <w:tc>
          <w:tcPr>
            <w:tcW w:w="535" w:type="dxa"/>
            <w:tcBorders/>
            <w:shd w:fill="CCEEFF" w:val="clear"/>
            <w:vAlign w:val="center"/>
          </w:tcPr>
          <w:p>
            <w:pPr>
              <w:pStyle w:val="TableContents"/>
              <w:bidi w:val="0"/>
              <w:spacing w:before="0" w:after="0"/>
              <w:jc w:val="right"/>
              <w:rPr/>
            </w:pPr>
            <w:r>
              <w:rPr/>
              <w:t>    </w:t>
            </w: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45,355</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27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Corporate bonds</w:t>
            </w:r>
            <w:r>
              <w:rPr>
                <w:rFonts w:ascii="Times New Roman;Times;Serif" w:hAnsi="Times New Roman;Times;Serif"/>
                <w:position w:val="7"/>
                <w:sz w:val="16"/>
                <w:sz w:val="20"/>
              </w:rPr>
              <w:t>(a)</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3,704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 </w:t>
            </w:r>
          </w:p>
        </w:tc>
        <w:tc>
          <w:tcPr>
            <w:tcW w:w="535"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3,704</w:t>
            </w:r>
          </w:p>
        </w:tc>
        <w:tc>
          <w:tcPr>
            <w:tcW w:w="135" w:type="dxa"/>
            <w:tcBorders/>
            <w:vAlign w:val="center"/>
          </w:tcPr>
          <w:p>
            <w:pPr>
              <w:pStyle w:val="TableContents"/>
              <w:bidi w:val="0"/>
              <w:spacing w:before="0" w:after="283"/>
              <w:ind w:left="0" w:right="0" w:hanging="180"/>
              <w:jc w:val="left"/>
              <w:rPr/>
            </w:pPr>
            <w:r>
              <w:rPr/>
              <w:t> </w:t>
            </w:r>
          </w:p>
        </w:tc>
      </w:tr>
      <w:tr>
        <w:trPr/>
        <w:tc>
          <w:tcPr>
            <w:tcW w:w="2765" w:type="dxa"/>
            <w:tcBorders/>
            <w:shd w:fill="CCEEFF" w:val="clear"/>
            <w:vAlign w:val="center"/>
          </w:tcPr>
          <w:p>
            <w:pPr>
              <w:pStyle w:val="TableContents"/>
              <w:bidi w:val="0"/>
              <w:spacing w:before="0" w:after="283"/>
              <w:jc w:val="left"/>
              <w:rPr/>
            </w:pPr>
            <w:r>
              <w:rPr/>
              <w:t>Restricted cash, non-current: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53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27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Money market funds</w:t>
            </w:r>
            <w:r>
              <w:rPr>
                <w:rFonts w:ascii="Times New Roman;Times;Serif" w:hAnsi="Times New Roman;Times;Serif"/>
                <w:position w:val="7"/>
                <w:sz w:val="16"/>
                <w:sz w:val="20"/>
              </w:rPr>
              <w:t>(b)</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745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 </w:t>
            </w:r>
          </w:p>
        </w:tc>
        <w:tc>
          <w:tcPr>
            <w:tcW w:w="535"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745</w:t>
            </w:r>
          </w:p>
        </w:tc>
        <w:tc>
          <w:tcPr>
            <w:tcW w:w="135" w:type="dxa"/>
            <w:tcBorders/>
            <w:vAlign w:val="center"/>
          </w:tcPr>
          <w:p>
            <w:pPr>
              <w:pStyle w:val="TableContents"/>
              <w:bidi w:val="0"/>
              <w:spacing w:before="0" w:after="283"/>
              <w:ind w:left="0" w:right="0" w:hanging="180"/>
              <w:jc w:val="left"/>
              <w:rPr/>
            </w:pPr>
            <w:r>
              <w:rPr/>
              <w:t> </w:t>
            </w:r>
          </w:p>
        </w:tc>
      </w:tr>
      <w:tr>
        <w:trPr/>
        <w:tc>
          <w:tcPr>
            <w:tcW w:w="2765" w:type="dxa"/>
            <w:tcBorders/>
            <w:shd w:fill="CCEEFF" w:val="clear"/>
            <w:vAlign w:val="center"/>
          </w:tcPr>
          <w:p>
            <w:pPr>
              <w:pStyle w:val="TableContents"/>
              <w:bidi w:val="0"/>
              <w:spacing w:before="0" w:after="283"/>
              <w:jc w:val="left"/>
              <w:rPr/>
            </w:pPr>
            <w:r>
              <w:rPr/>
              <w:t>Marketable debt securities: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53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27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Corporate bonds</w:t>
            </w:r>
            <w:r>
              <w:rPr>
                <w:rFonts w:ascii="Times New Roman;Times;Serif" w:hAnsi="Times New Roman;Times;Serif"/>
                <w:position w:val="7"/>
                <w:sz w:val="16"/>
                <w:sz w:val="20"/>
              </w:rPr>
              <w:t>(c)</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125,682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 </w:t>
            </w:r>
          </w:p>
        </w:tc>
        <w:tc>
          <w:tcPr>
            <w:tcW w:w="535"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125,682</w:t>
            </w:r>
          </w:p>
        </w:tc>
        <w:tc>
          <w:tcPr>
            <w:tcW w:w="135" w:type="dxa"/>
            <w:tcBorders/>
            <w:vAlign w:val="center"/>
          </w:tcPr>
          <w:p>
            <w:pPr>
              <w:pStyle w:val="TableContents"/>
              <w:bidi w:val="0"/>
              <w:spacing w:before="0" w:after="283"/>
              <w:ind w:left="0" w:right="0" w:hanging="180"/>
              <w:jc w:val="left"/>
              <w:rPr/>
            </w:pPr>
            <w:r>
              <w:rPr/>
              <w:t> </w:t>
            </w:r>
          </w:p>
        </w:tc>
      </w:tr>
      <w:tr>
        <w:trPr/>
        <w:tc>
          <w:tcPr>
            <w:tcW w:w="27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 Treasury securities</w:t>
            </w:r>
            <w:r>
              <w:rPr>
                <w:rFonts w:ascii="Times New Roman;Times;Serif" w:hAnsi="Times New Roman;Times;Serif"/>
                <w:position w:val="7"/>
                <w:sz w:val="16"/>
                <w:sz w:val="20"/>
              </w:rPr>
              <w:t>(c)</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pPr>
            <w:r>
              <w:rPr/>
              <w:t>22,551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3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22,551</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2765" w:type="dxa"/>
            <w:tcBorders/>
            <w:vAlign w:val="center"/>
          </w:tcPr>
          <w:p>
            <w:pPr>
              <w:pStyle w:val="TableContents"/>
              <w:bidi w:val="0"/>
              <w:spacing w:before="0" w:after="283"/>
              <w:jc w:val="left"/>
              <w:rPr/>
            </w:pPr>
            <w:r>
              <w:rPr/>
              <w:t>Total</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710" w:type="dxa"/>
            <w:tcBorders>
              <w:bottom w:val="double" w:sz="10" w:space="0" w:color="000000"/>
            </w:tcBorders>
            <w:tcMar>
              <w:bottom w:w="28" w:type="dxa"/>
            </w:tcMar>
            <w:vAlign w:val="center"/>
          </w:tcPr>
          <w:p>
            <w:pPr>
              <w:pStyle w:val="TableContents"/>
              <w:bidi w:val="0"/>
              <w:spacing w:before="0" w:after="283"/>
              <w:jc w:val="right"/>
              <w:rPr/>
            </w:pPr>
            <w:r>
              <w:rPr/>
              <w:t>68,651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830" w:type="dxa"/>
            <w:tcBorders>
              <w:bottom w:val="double" w:sz="10" w:space="0" w:color="000000"/>
            </w:tcBorders>
            <w:tcMar>
              <w:bottom w:w="28" w:type="dxa"/>
            </w:tcMar>
            <w:vAlign w:val="center"/>
          </w:tcPr>
          <w:p>
            <w:pPr>
              <w:pStyle w:val="TableContents"/>
              <w:bidi w:val="0"/>
              <w:spacing w:before="0" w:after="283"/>
              <w:jc w:val="right"/>
              <w:rPr/>
            </w:pPr>
            <w:r>
              <w:rPr/>
              <w:t>129,386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9" w:type="dxa"/>
            <w:tcBorders>
              <w:bottom w:val="double" w:sz="10" w:space="0" w:color="000000"/>
            </w:tcBorders>
            <w:tcMar>
              <w:bottom w:w="28" w:type="dxa"/>
            </w:tcMar>
            <w:vAlign w:val="center"/>
          </w:tcPr>
          <w:p>
            <w:pPr>
              <w:pStyle w:val="TableContents"/>
              <w:bidi w:val="0"/>
              <w:spacing w:before="0" w:after="283"/>
              <w:jc w:val="left"/>
              <w:rPr/>
            </w:pPr>
            <w:r>
              <w:rPr/>
              <w:t>$</w:t>
            </w:r>
          </w:p>
        </w:tc>
        <w:tc>
          <w:tcPr>
            <w:tcW w:w="535" w:type="dxa"/>
            <w:tcBorders>
              <w:bottom w:val="double" w:sz="10"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830" w:type="dxa"/>
            <w:tcBorders>
              <w:bottom w:val="double" w:sz="10" w:space="0" w:color="000000"/>
            </w:tcBorders>
            <w:tcMar>
              <w:bottom w:w="28" w:type="dxa"/>
            </w:tcMar>
            <w:vAlign w:val="center"/>
          </w:tcPr>
          <w:p>
            <w:pPr>
              <w:pStyle w:val="TableContents"/>
              <w:bidi w:val="0"/>
              <w:spacing w:before="0" w:after="283"/>
              <w:jc w:val="right"/>
              <w:rPr/>
            </w:pPr>
            <w:r>
              <w:rPr/>
              <w:t>198,037</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5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Money market funds and corporate bonds with original maturities of 90 days or less are included within cash and cash equivalents in the condensed consolidated balance sheets.</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7"/>
        <w:gridCol w:w="9918"/>
      </w:tblGrid>
      <w:tr>
        <w:trPr/>
        <w:tc>
          <w:tcPr>
            <w:tcW w:w="28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1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Restricted money market funds are included within restricted cash, non-current in the condensed consolidated balance sheets.</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Corporate bonds, commercial paper and U.S. Treasury securities with original maturities greater than 90 days are included within marketable debt securities in the condensed consolidated balance sheets and classified as current or non-current based upon whether the maturity of the financial asset is less than or greater than 12 months.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Money market funds and U.S. Treasury securities are classified as Level 1 within the fair value hierarchy, because they are valued using quoted prices in active markets. Corporate bonds classified as Level 2 within the fair value hierarchy are valued on the basis of prices from an orderly transaction between market participants provided by reputable dealers or pricing services. Prices of these securities are obtained through independent, third-party pricing services and include market quotations that may include both observable and unobservable inputs. In determining the value of a particular investment, pricing services may use certain information with respect to transactions in such investments, quotations from dealers, pricing matrices and market transactions in comparable investments and various relationships between investments. There were no transfers of financial instruments among Level 1, Level 2, and Level 3 during the period 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prepaid expenses and other current assets, accounts payable and accrued expenses and other current liabilities at June 30, 2026 and December 31, 2025 are carried at amounts that approximate fair value due to their short-term maturities.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Marketable Debt Securities</w:t>
      </w:r>
    </w:p>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Marketable debt securities, all of which were classified as available-for-sale, consist of the following:</w:t>
      </w:r>
    </w:p>
    <w:p>
      <w:pPr>
        <w:pStyle w:val="TextBody"/>
        <w:bidi w:val="0"/>
        <w:spacing w:before="0" w:after="0"/>
        <w:ind w:left="0" w:right="0" w:firstLine="360"/>
        <w:jc w:val="both"/>
        <w:rPr>
          <w:caps w:val="false"/>
          <w:smallCaps w:val="false"/>
        </w:rPr>
      </w:pPr>
      <w:r>
        <w:rPr>
          <w:caps w:val="false"/>
          <w:smallCaps w:val="false"/>
        </w:rPr>
        <w:t> </w:t>
      </w:r>
    </w:p>
    <w:tbl>
      <w:tblPr>
        <w:tblW w:w="9194" w:type="dxa"/>
        <w:jc w:val="left"/>
        <w:tblInd w:w="0" w:type="dxa"/>
        <w:tblLayout w:type="fixed"/>
        <w:tblCellMar>
          <w:top w:w="0" w:type="dxa"/>
          <w:left w:w="0" w:type="dxa"/>
          <w:bottom w:w="0" w:type="dxa"/>
          <w:right w:w="0" w:type="dxa"/>
        </w:tblCellMar>
      </w:tblPr>
      <w:tblGrid>
        <w:gridCol w:w="3800"/>
        <w:gridCol w:w="90"/>
        <w:gridCol w:w="192"/>
        <w:gridCol w:w="938"/>
        <w:gridCol w:w="90"/>
        <w:gridCol w:w="90"/>
        <w:gridCol w:w="259"/>
        <w:gridCol w:w="901"/>
        <w:gridCol w:w="90"/>
        <w:gridCol w:w="90"/>
        <w:gridCol w:w="301"/>
        <w:gridCol w:w="859"/>
        <w:gridCol w:w="125"/>
        <w:gridCol w:w="90"/>
        <w:gridCol w:w="193"/>
        <w:gridCol w:w="951"/>
        <w:gridCol w:w="135"/>
      </w:tblGrid>
      <w:tr>
        <w:trPr/>
        <w:tc>
          <w:tcPr>
            <w:tcW w:w="38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169"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As of June 30, 2026</w:t>
            </w:r>
          </w:p>
        </w:tc>
        <w:tc>
          <w:tcPr>
            <w:tcW w:w="135" w:type="dxa"/>
            <w:tcBorders/>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Amortized</w:t>
              <w:br/>
              <w:t>Cost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Unrealized</w:t>
              <w:br/>
              <w:t>Gains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Unrealized</w:t>
              <w:br/>
              <w:t>Losses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Estimated </w:t>
              <w:br/>
              <w:t>Fair Value</w:t>
            </w:r>
          </w:p>
        </w:tc>
        <w:tc>
          <w:tcPr>
            <w:tcW w:w="135" w:type="dxa"/>
            <w:tcBorders/>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283"/>
              <w:jc w:val="left"/>
              <w:rPr/>
            </w:pPr>
            <w:r>
              <w:rPr/>
              <w:t>Marketable debt securities:</w:t>
            </w:r>
          </w:p>
        </w:tc>
        <w:tc>
          <w:tcPr>
            <w:tcW w:w="9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4" w:type="dxa"/>
            <w:gridSpan w:val="2"/>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283"/>
              <w:jc w:val="left"/>
              <w:rPr/>
            </w:pPr>
            <w:r>
              <w:rPr/>
              <w:t>Corporate bonds</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w:t>
            </w:r>
          </w:p>
        </w:tc>
        <w:tc>
          <w:tcPr>
            <w:tcW w:w="938" w:type="dxa"/>
            <w:tcBorders/>
            <w:shd w:fill="CCEEFF" w:val="clear"/>
            <w:vAlign w:val="center"/>
          </w:tcPr>
          <w:p>
            <w:pPr>
              <w:pStyle w:val="TableContents"/>
              <w:bidi w:val="0"/>
              <w:spacing w:before="0" w:after="283"/>
              <w:jc w:val="right"/>
              <w:rPr/>
            </w:pPr>
            <w:r>
              <w:rPr/>
              <w:t>109,672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w:t>
            </w:r>
          </w:p>
        </w:tc>
        <w:tc>
          <w:tcPr>
            <w:tcW w:w="901" w:type="dxa"/>
            <w:tcBorders/>
            <w:shd w:fill="CCEEFF" w:val="clear"/>
            <w:vAlign w:val="center"/>
          </w:tcPr>
          <w:p>
            <w:pPr>
              <w:pStyle w:val="TableContents"/>
              <w:bidi w:val="0"/>
              <w:spacing w:before="0" w:after="283"/>
              <w:jc w:val="right"/>
              <w:rPr/>
            </w:pPr>
            <w:r>
              <w:rPr/>
              <w:t>       </w:t>
            </w:r>
            <w:r>
              <w:rPr/>
              <w:t>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859" w:type="dxa"/>
            <w:tcBorders/>
            <w:shd w:fill="CCEEFF" w:val="clear"/>
            <w:vAlign w:val="center"/>
          </w:tcPr>
          <w:p>
            <w:pPr>
              <w:pStyle w:val="TableContents"/>
              <w:bidi w:val="0"/>
              <w:spacing w:before="0" w:after="283"/>
              <w:jc w:val="right"/>
              <w:rPr/>
            </w:pPr>
            <w:r>
              <w:rPr/>
              <w:t>(224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w:t>
            </w:r>
          </w:p>
        </w:tc>
        <w:tc>
          <w:tcPr>
            <w:tcW w:w="951" w:type="dxa"/>
            <w:tcBorders/>
            <w:shd w:fill="CCEEFF" w:val="clear"/>
            <w:vAlign w:val="center"/>
          </w:tcPr>
          <w:p>
            <w:pPr>
              <w:pStyle w:val="TableContents"/>
              <w:bidi w:val="0"/>
              <w:spacing w:before="0" w:after="283"/>
              <w:jc w:val="right"/>
              <w:rPr/>
            </w:pPr>
            <w:r>
              <w:rPr/>
              <w:t>109,454</w:t>
            </w:r>
          </w:p>
        </w:tc>
        <w:tc>
          <w:tcPr>
            <w:tcW w:w="135" w:type="dxa"/>
            <w:tcBorders/>
            <w:shd w:fill="CCEEFF" w:val="clear"/>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283"/>
              <w:jc w:val="left"/>
              <w:rPr/>
            </w:pPr>
            <w:r>
              <w:rPr/>
              <w:t>Commercial paper</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283"/>
              <w:jc w:val="right"/>
              <w:rPr/>
            </w:pPr>
            <w:r>
              <w:rPr/>
              <w:t>10,965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283"/>
              <w:jc w:val="left"/>
              <w:rPr/>
            </w:pPr>
            <w:r>
              <w:rPr/>
              <w:t> </w:t>
            </w:r>
          </w:p>
        </w:tc>
        <w:tc>
          <w:tcPr>
            <w:tcW w:w="901"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859" w:type="dxa"/>
            <w:tcBorders/>
            <w:vAlign w:val="center"/>
          </w:tcPr>
          <w:p>
            <w:pPr>
              <w:pStyle w:val="TableContents"/>
              <w:bidi w:val="0"/>
              <w:spacing w:before="0" w:after="283"/>
              <w:jc w:val="right"/>
              <w:rPr/>
            </w:pPr>
            <w:r>
              <w:rPr/>
              <w:t>(3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951" w:type="dxa"/>
            <w:tcBorders/>
            <w:vAlign w:val="center"/>
          </w:tcPr>
          <w:p>
            <w:pPr>
              <w:pStyle w:val="TableContents"/>
              <w:bidi w:val="0"/>
              <w:spacing w:before="0" w:after="283"/>
              <w:jc w:val="right"/>
              <w:rPr/>
            </w:pPr>
            <w:r>
              <w:rPr/>
              <w:t>10,962</w:t>
            </w:r>
          </w:p>
        </w:tc>
        <w:tc>
          <w:tcPr>
            <w:tcW w:w="135" w:type="dxa"/>
            <w:tcBorders/>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283"/>
              <w:jc w:val="left"/>
              <w:rPr/>
            </w:pPr>
            <w:r>
              <w:rPr/>
              <w:t>U.S. Treasury securities</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pPr>
            <w:r>
              <w:rPr/>
              <w:t>5,000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901" w:type="dxa"/>
            <w:tcBorders/>
            <w:shd w:fill="CCEEFF" w:val="clear"/>
            <w:vAlign w:val="center"/>
          </w:tcPr>
          <w:p>
            <w:pPr>
              <w:pStyle w:val="TableContents"/>
              <w:bidi w:val="0"/>
              <w:spacing w:before="0" w:after="283"/>
              <w:jc w:val="right"/>
              <w:rPr/>
            </w:pPr>
            <w:r>
              <w:rPr/>
              <w:t>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5,002</w:t>
            </w:r>
          </w:p>
        </w:tc>
        <w:tc>
          <w:tcPr>
            <w:tcW w:w="135" w:type="dxa"/>
            <w:tcBorders/>
            <w:shd w:fill="CCEEFF" w:val="clear"/>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283"/>
              <w:jc w:val="left"/>
              <w:rPr/>
            </w:pPr>
            <w:r>
              <w:rPr/>
              <w:t>Marketable debt securities, non-current:</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283"/>
              <w:jc w:val="left"/>
              <w:rPr/>
            </w:pPr>
            <w:r>
              <w:rPr/>
              <w:t> </w:t>
            </w:r>
          </w:p>
        </w:tc>
        <w:tc>
          <w:tcPr>
            <w:tcW w:w="901"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859"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951"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283"/>
              <w:jc w:val="left"/>
              <w:rPr/>
            </w:pPr>
            <w:r>
              <w:rPr/>
              <w:t>Corporate bonds</w:t>
            </w:r>
          </w:p>
        </w:tc>
        <w:tc>
          <w:tcPr>
            <w:tcW w:w="90" w:type="dxa"/>
            <w:tcBorders/>
            <w:shd w:fill="CCEEFF" w:val="clear"/>
            <w:vAlign w:val="center"/>
          </w:tcPr>
          <w:p>
            <w:pPr>
              <w:pStyle w:val="TableContents"/>
              <w:bidi w:val="0"/>
              <w:spacing w:before="0" w:after="283"/>
              <w:jc w:val="left"/>
              <w:rPr/>
            </w:pPr>
            <w:r>
              <w:rPr/>
              <w:t> </w:t>
            </w:r>
          </w:p>
        </w:tc>
        <w:tc>
          <w:tcPr>
            <w:tcW w:w="19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8" w:type="dxa"/>
            <w:tcBorders>
              <w:bottom w:val="single" w:sz="12" w:space="0" w:color="000000"/>
            </w:tcBorders>
            <w:shd w:fill="CCEEFF" w:val="clear"/>
            <w:tcMar>
              <w:bottom w:w="28" w:type="dxa"/>
            </w:tcMar>
            <w:vAlign w:val="center"/>
          </w:tcPr>
          <w:p>
            <w:pPr>
              <w:pStyle w:val="TableContents"/>
              <w:bidi w:val="0"/>
              <w:spacing w:before="0" w:after="283"/>
              <w:jc w:val="right"/>
              <w:rPr/>
            </w:pPr>
            <w:r>
              <w:rPr/>
              <w:t>19,500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1"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9" w:type="dxa"/>
            <w:tcBorders>
              <w:bottom w:val="single" w:sz="12" w:space="0" w:color="000000"/>
            </w:tcBorders>
            <w:shd w:fill="CCEEFF" w:val="clear"/>
            <w:tcMar>
              <w:bottom w:w="28" w:type="dxa"/>
            </w:tcMar>
            <w:vAlign w:val="center"/>
          </w:tcPr>
          <w:p>
            <w:pPr>
              <w:pStyle w:val="TableContents"/>
              <w:bidi w:val="0"/>
              <w:spacing w:before="0" w:after="283"/>
              <w:jc w:val="right"/>
              <w:rPr/>
            </w:pPr>
            <w:r>
              <w:rPr/>
              <w:t>(144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9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1" w:type="dxa"/>
            <w:tcBorders>
              <w:bottom w:val="single" w:sz="12" w:space="0" w:color="000000"/>
            </w:tcBorders>
            <w:shd w:fill="CCEEFF" w:val="clear"/>
            <w:tcMar>
              <w:bottom w:w="28" w:type="dxa"/>
            </w:tcMar>
            <w:vAlign w:val="center"/>
          </w:tcPr>
          <w:p>
            <w:pPr>
              <w:pStyle w:val="TableContents"/>
              <w:bidi w:val="0"/>
              <w:spacing w:before="0" w:after="283"/>
              <w:jc w:val="right"/>
              <w:rPr/>
            </w:pPr>
            <w:r>
              <w:rPr/>
              <w:t>19,356</w:t>
            </w:r>
          </w:p>
        </w:tc>
        <w:tc>
          <w:tcPr>
            <w:tcW w:w="135" w:type="dxa"/>
            <w:tcBorders/>
            <w:shd w:fill="CCEEFF" w:val="clear"/>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283"/>
              <w:jc w:val="left"/>
              <w:rPr/>
            </w:pPr>
            <w:r>
              <w:rPr/>
              <w:t>Total</w:t>
            </w:r>
          </w:p>
        </w:tc>
        <w:tc>
          <w:tcPr>
            <w:tcW w:w="90" w:type="dxa"/>
            <w:tcBorders/>
            <w:vAlign w:val="center"/>
          </w:tcPr>
          <w:p>
            <w:pPr>
              <w:pStyle w:val="TableContents"/>
              <w:bidi w:val="0"/>
              <w:spacing w:before="0" w:after="283"/>
              <w:jc w:val="left"/>
              <w:rPr/>
            </w:pPr>
            <w:r>
              <w:rPr/>
              <w:t> </w:t>
            </w:r>
          </w:p>
        </w:tc>
        <w:tc>
          <w:tcPr>
            <w:tcW w:w="192" w:type="dxa"/>
            <w:tcBorders>
              <w:bottom w:val="double" w:sz="10" w:space="0" w:color="000000"/>
            </w:tcBorders>
            <w:tcMar>
              <w:bottom w:w="28" w:type="dxa"/>
            </w:tcMar>
            <w:vAlign w:val="center"/>
          </w:tcPr>
          <w:p>
            <w:pPr>
              <w:pStyle w:val="TableContents"/>
              <w:bidi w:val="0"/>
              <w:spacing w:before="0" w:after="283"/>
              <w:jc w:val="left"/>
              <w:rPr/>
            </w:pPr>
            <w:r>
              <w:rPr/>
              <w:t>$</w:t>
            </w:r>
          </w:p>
        </w:tc>
        <w:tc>
          <w:tcPr>
            <w:tcW w:w="938" w:type="dxa"/>
            <w:tcBorders>
              <w:bottom w:val="double" w:sz="10" w:space="0" w:color="000000"/>
            </w:tcBorders>
            <w:tcMar>
              <w:bottom w:w="28" w:type="dxa"/>
            </w:tcMar>
            <w:vAlign w:val="center"/>
          </w:tcPr>
          <w:p>
            <w:pPr>
              <w:pStyle w:val="TableContents"/>
              <w:bidi w:val="0"/>
              <w:spacing w:before="0" w:after="283"/>
              <w:jc w:val="right"/>
              <w:rPr/>
            </w:pPr>
            <w:r>
              <w:rPr/>
              <w:t>145,137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9" w:type="dxa"/>
            <w:tcBorders>
              <w:bottom w:val="double" w:sz="10" w:space="0" w:color="000000"/>
            </w:tcBorders>
            <w:tcMar>
              <w:bottom w:w="28" w:type="dxa"/>
            </w:tcMar>
            <w:vAlign w:val="center"/>
          </w:tcPr>
          <w:p>
            <w:pPr>
              <w:pStyle w:val="TableContents"/>
              <w:bidi w:val="0"/>
              <w:spacing w:before="0" w:after="283"/>
              <w:jc w:val="left"/>
              <w:rPr/>
            </w:pPr>
            <w:r>
              <w:rPr/>
              <w:t>$</w:t>
            </w:r>
          </w:p>
        </w:tc>
        <w:tc>
          <w:tcPr>
            <w:tcW w:w="901" w:type="dxa"/>
            <w:tcBorders>
              <w:bottom w:val="double" w:sz="10" w:space="0" w:color="000000"/>
            </w:tcBorders>
            <w:tcMar>
              <w:bottom w:w="28" w:type="dxa"/>
            </w:tcMar>
            <w:vAlign w:val="center"/>
          </w:tcPr>
          <w:p>
            <w:pPr>
              <w:pStyle w:val="TableContents"/>
              <w:bidi w:val="0"/>
              <w:spacing w:before="0" w:after="283"/>
              <w:jc w:val="right"/>
              <w:rPr/>
            </w:pPr>
            <w:r>
              <w:rPr/>
              <w:t>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1" w:type="dxa"/>
            <w:tcBorders>
              <w:bottom w:val="double" w:sz="10" w:space="0" w:color="000000"/>
            </w:tcBorders>
            <w:tcMar>
              <w:bottom w:w="28" w:type="dxa"/>
            </w:tcMar>
            <w:vAlign w:val="center"/>
          </w:tcPr>
          <w:p>
            <w:pPr>
              <w:pStyle w:val="TableContents"/>
              <w:bidi w:val="0"/>
              <w:spacing w:before="0" w:after="283"/>
              <w:jc w:val="left"/>
              <w:rPr/>
            </w:pPr>
            <w:r>
              <w:rPr/>
              <w:t>$</w:t>
            </w:r>
          </w:p>
        </w:tc>
        <w:tc>
          <w:tcPr>
            <w:tcW w:w="859" w:type="dxa"/>
            <w:tcBorders>
              <w:bottom w:val="double" w:sz="10" w:space="0" w:color="000000"/>
            </w:tcBorders>
            <w:tcMar>
              <w:bottom w:w="28" w:type="dxa"/>
            </w:tcMar>
            <w:vAlign w:val="center"/>
          </w:tcPr>
          <w:p>
            <w:pPr>
              <w:pStyle w:val="TableContents"/>
              <w:bidi w:val="0"/>
              <w:spacing w:before="0" w:after="283"/>
              <w:jc w:val="right"/>
              <w:rPr/>
            </w:pPr>
            <w:r>
              <w:rPr/>
              <w:t>(371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93" w:type="dxa"/>
            <w:tcBorders>
              <w:bottom w:val="double" w:sz="10" w:space="0" w:color="000000"/>
            </w:tcBorders>
            <w:tcMar>
              <w:bottom w:w="28" w:type="dxa"/>
            </w:tcMar>
            <w:vAlign w:val="center"/>
          </w:tcPr>
          <w:p>
            <w:pPr>
              <w:pStyle w:val="TableContents"/>
              <w:bidi w:val="0"/>
              <w:spacing w:before="0" w:after="283"/>
              <w:jc w:val="left"/>
              <w:rPr/>
            </w:pPr>
            <w:r>
              <w:rPr/>
              <w:t>$</w:t>
            </w:r>
          </w:p>
        </w:tc>
        <w:tc>
          <w:tcPr>
            <w:tcW w:w="951" w:type="dxa"/>
            <w:tcBorders>
              <w:bottom w:val="double" w:sz="10" w:space="0" w:color="000000"/>
            </w:tcBorders>
            <w:tcMar>
              <w:bottom w:w="28" w:type="dxa"/>
            </w:tcMar>
            <w:vAlign w:val="center"/>
          </w:tcPr>
          <w:p>
            <w:pPr>
              <w:pStyle w:val="TableContents"/>
              <w:bidi w:val="0"/>
              <w:spacing w:before="0" w:after="283"/>
              <w:jc w:val="right"/>
              <w:rPr/>
            </w:pPr>
            <w:r>
              <w:rPr/>
              <w:t>144,774</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Protara Therapeutics,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(amounts in thousands, except share and per share data)</w:t>
      </w:r>
    </w:p>
    <w:p>
      <w:pPr>
        <w:pStyle w:val="TextBody"/>
        <w:bidi w:val="0"/>
        <w:spacing w:before="0" w:after="0"/>
        <w:ind w:left="0" w:right="0" w:hanging="0"/>
        <w:jc w:val="left"/>
        <w:rPr>
          <w:caps w:val="false"/>
          <w:smallCaps w:val="false"/>
        </w:rPr>
      </w:pPr>
      <w:r>
        <w:rPr>
          <w:caps w:val="false"/>
          <w:smallCaps w:val="false"/>
        </w:rPr>
        <w:t> </w:t>
      </w:r>
    </w:p>
    <w:tbl>
      <w:tblPr>
        <w:tblW w:w="9199" w:type="dxa"/>
        <w:jc w:val="left"/>
        <w:tblInd w:w="0" w:type="dxa"/>
        <w:tblLayout w:type="fixed"/>
        <w:tblCellMar>
          <w:top w:w="0" w:type="dxa"/>
          <w:left w:w="0" w:type="dxa"/>
          <w:bottom w:w="0" w:type="dxa"/>
          <w:right w:w="0" w:type="dxa"/>
        </w:tblCellMar>
      </w:tblPr>
      <w:tblGrid>
        <w:gridCol w:w="3800"/>
        <w:gridCol w:w="90"/>
        <w:gridCol w:w="192"/>
        <w:gridCol w:w="938"/>
        <w:gridCol w:w="90"/>
        <w:gridCol w:w="90"/>
        <w:gridCol w:w="340"/>
        <w:gridCol w:w="820"/>
        <w:gridCol w:w="90"/>
        <w:gridCol w:w="90"/>
        <w:gridCol w:w="368"/>
        <w:gridCol w:w="792"/>
        <w:gridCol w:w="125"/>
        <w:gridCol w:w="90"/>
        <w:gridCol w:w="193"/>
        <w:gridCol w:w="951"/>
        <w:gridCol w:w="140"/>
      </w:tblGrid>
      <w:tr>
        <w:trPr/>
        <w:tc>
          <w:tcPr>
            <w:tcW w:w="38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169"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As of December 31, 2025</w:t>
            </w:r>
          </w:p>
        </w:tc>
        <w:tc>
          <w:tcPr>
            <w:tcW w:w="140" w:type="dxa"/>
            <w:tcBorders/>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Amortized</w:t>
              <w:br/>
              <w:t>Cost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Unrealized</w:t>
              <w:br/>
              <w:t>Gains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Unrealized</w:t>
              <w:br/>
              <w:t>Losses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Estimated </w:t>
              <w:br/>
              <w:t>Fair Value</w:t>
            </w:r>
          </w:p>
        </w:tc>
        <w:tc>
          <w:tcPr>
            <w:tcW w:w="140" w:type="dxa"/>
            <w:tcBorders/>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283"/>
              <w:jc w:val="left"/>
              <w:rPr/>
            </w:pPr>
            <w:r>
              <w:rPr/>
              <w:t>Marketable debt securities:</w:t>
            </w:r>
          </w:p>
        </w:tc>
        <w:tc>
          <w:tcPr>
            <w:tcW w:w="9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4" w:type="dxa"/>
            <w:gridSpan w:val="2"/>
            <w:tcBorders/>
            <w:vAlign w:val="center"/>
          </w:tcPr>
          <w:p>
            <w:pPr>
              <w:pStyle w:val="TableContents"/>
              <w:bidi w:val="0"/>
              <w:spacing w:before="0" w:after="283"/>
              <w:jc w:val="right"/>
              <w:rPr/>
            </w:pPr>
            <w:r>
              <w:rPr/>
              <w:t> </w:t>
            </w:r>
          </w:p>
        </w:tc>
        <w:tc>
          <w:tcPr>
            <w:tcW w:w="140" w:type="dxa"/>
            <w:tcBorders/>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283"/>
              <w:jc w:val="left"/>
              <w:rPr/>
            </w:pPr>
            <w:r>
              <w:rPr/>
              <w:t>Corporate bonds</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w:t>
            </w:r>
          </w:p>
        </w:tc>
        <w:tc>
          <w:tcPr>
            <w:tcW w:w="938" w:type="dxa"/>
            <w:tcBorders/>
            <w:shd w:fill="CCEEFF" w:val="clear"/>
            <w:vAlign w:val="center"/>
          </w:tcPr>
          <w:p>
            <w:pPr>
              <w:pStyle w:val="TableContents"/>
              <w:bidi w:val="0"/>
              <w:spacing w:before="0" w:after="283"/>
              <w:jc w:val="right"/>
              <w:rPr/>
            </w:pPr>
            <w:r>
              <w:rPr/>
              <w:t>83,291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40" w:type="dxa"/>
            <w:tcBorders/>
            <w:shd w:fill="CCEEFF" w:val="clear"/>
            <w:vAlign w:val="center"/>
          </w:tcPr>
          <w:p>
            <w:pPr>
              <w:pStyle w:val="TableContents"/>
              <w:bidi w:val="0"/>
              <w:spacing w:before="0" w:after="283"/>
              <w:jc w:val="left"/>
              <w:rPr/>
            </w:pPr>
            <w:r>
              <w:rPr/>
              <w:t>$</w:t>
            </w:r>
          </w:p>
        </w:tc>
        <w:tc>
          <w:tcPr>
            <w:tcW w:w="820" w:type="dxa"/>
            <w:tcBorders/>
            <w:shd w:fill="CCEEFF" w:val="clear"/>
            <w:vAlign w:val="center"/>
          </w:tcPr>
          <w:p>
            <w:pPr>
              <w:pStyle w:val="TableContents"/>
              <w:bidi w:val="0"/>
              <w:spacing w:before="0" w:after="283"/>
              <w:jc w:val="right"/>
              <w:rPr/>
            </w:pPr>
            <w:r>
              <w:rPr/>
              <w:t>77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68" w:type="dxa"/>
            <w:tcBorders/>
            <w:shd w:fill="CCEEFF" w:val="clear"/>
            <w:vAlign w:val="center"/>
          </w:tcPr>
          <w:p>
            <w:pPr>
              <w:pStyle w:val="TableContents"/>
              <w:bidi w:val="0"/>
              <w:spacing w:before="0" w:after="283"/>
              <w:jc w:val="left"/>
              <w:rPr/>
            </w:pPr>
            <w:r>
              <w:rPr/>
              <w:t>$</w:t>
            </w:r>
          </w:p>
        </w:tc>
        <w:tc>
          <w:tcPr>
            <w:tcW w:w="792" w:type="dxa"/>
            <w:tcBorders/>
            <w:shd w:fill="CCEEFF" w:val="clear"/>
            <w:vAlign w:val="center"/>
          </w:tcPr>
          <w:p>
            <w:pPr>
              <w:pStyle w:val="TableContents"/>
              <w:bidi w:val="0"/>
              <w:spacing w:before="0" w:after="283"/>
              <w:jc w:val="right"/>
              <w:rPr/>
            </w:pPr>
            <w:r>
              <w:rPr/>
              <w:t>(22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w:t>
            </w:r>
          </w:p>
        </w:tc>
        <w:tc>
          <w:tcPr>
            <w:tcW w:w="951" w:type="dxa"/>
            <w:tcBorders/>
            <w:shd w:fill="CCEEFF" w:val="clear"/>
            <w:vAlign w:val="center"/>
          </w:tcPr>
          <w:p>
            <w:pPr>
              <w:pStyle w:val="TableContents"/>
              <w:bidi w:val="0"/>
              <w:spacing w:before="0" w:after="283"/>
              <w:jc w:val="right"/>
              <w:rPr/>
            </w:pPr>
            <w:r>
              <w:rPr/>
              <w:t>83,346</w:t>
            </w:r>
          </w:p>
        </w:tc>
        <w:tc>
          <w:tcPr>
            <w:tcW w:w="140" w:type="dxa"/>
            <w:tcBorders/>
            <w:shd w:fill="CCEEFF" w:val="clear"/>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283"/>
              <w:jc w:val="left"/>
              <w:rPr/>
            </w:pPr>
            <w:r>
              <w:rPr/>
              <w:t>U.S. Treasury securities</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283"/>
              <w:jc w:val="right"/>
              <w:rPr/>
            </w:pPr>
            <w:r>
              <w:rPr/>
              <w:t>22,493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40" w:type="dxa"/>
            <w:tcBorders/>
            <w:vAlign w:val="center"/>
          </w:tcPr>
          <w:p>
            <w:pPr>
              <w:pStyle w:val="TableContents"/>
              <w:bidi w:val="0"/>
              <w:spacing w:before="0" w:after="283"/>
              <w:jc w:val="left"/>
              <w:rPr/>
            </w:pPr>
            <w:r>
              <w:rPr/>
              <w:t> </w:t>
            </w:r>
          </w:p>
        </w:tc>
        <w:tc>
          <w:tcPr>
            <w:tcW w:w="820" w:type="dxa"/>
            <w:tcBorders/>
            <w:vAlign w:val="center"/>
          </w:tcPr>
          <w:p>
            <w:pPr>
              <w:pStyle w:val="TableContents"/>
              <w:bidi w:val="0"/>
              <w:spacing w:before="0" w:after="283"/>
              <w:jc w:val="right"/>
              <w:rPr/>
            </w:pPr>
            <w:r>
              <w:rPr/>
              <w:t>58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68" w:type="dxa"/>
            <w:tcBorders/>
            <w:vAlign w:val="center"/>
          </w:tcPr>
          <w:p>
            <w:pPr>
              <w:pStyle w:val="TableContents"/>
              <w:bidi w:val="0"/>
              <w:spacing w:before="0" w:after="283"/>
              <w:jc w:val="left"/>
              <w:rPr/>
            </w:pPr>
            <w:r>
              <w:rPr/>
              <w:t> </w:t>
            </w:r>
          </w:p>
        </w:tc>
        <w:tc>
          <w:tcPr>
            <w:tcW w:w="792"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951" w:type="dxa"/>
            <w:tcBorders/>
            <w:vAlign w:val="center"/>
          </w:tcPr>
          <w:p>
            <w:pPr>
              <w:pStyle w:val="TableContents"/>
              <w:bidi w:val="0"/>
              <w:spacing w:before="0" w:after="283"/>
              <w:jc w:val="right"/>
              <w:rPr/>
            </w:pPr>
            <w:r>
              <w:rPr/>
              <w:t>22,551</w:t>
            </w:r>
          </w:p>
        </w:tc>
        <w:tc>
          <w:tcPr>
            <w:tcW w:w="140" w:type="dxa"/>
            <w:tcBorders/>
            <w:vAlign w:val="center"/>
          </w:tcPr>
          <w:p>
            <w:pPr>
              <w:pStyle w:val="TableContents"/>
              <w:bidi w:val="0"/>
              <w:spacing w:before="0" w:after="283"/>
              <w:ind w:left="0" w:right="0" w:hanging="180"/>
              <w:jc w:val="left"/>
              <w:rPr/>
            </w:pPr>
            <w:r>
              <w:rPr/>
              <w:t> </w:t>
            </w:r>
          </w:p>
        </w:tc>
      </w:tr>
      <w:tr>
        <w:trPr/>
        <w:tc>
          <w:tcPr>
            <w:tcW w:w="3800" w:type="dxa"/>
            <w:tcBorders/>
            <w:shd w:fill="CCEEFF" w:val="clear"/>
            <w:vAlign w:val="center"/>
          </w:tcPr>
          <w:p>
            <w:pPr>
              <w:pStyle w:val="TableContents"/>
              <w:bidi w:val="0"/>
              <w:spacing w:before="0" w:after="283"/>
              <w:jc w:val="left"/>
              <w:rPr/>
            </w:pPr>
            <w:r>
              <w:rPr/>
              <w:t>Marketable debt securities, non-current:</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40"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68" w:type="dxa"/>
            <w:tcBorders/>
            <w:shd w:fill="CCEEFF" w:val="clear"/>
            <w:vAlign w:val="center"/>
          </w:tcPr>
          <w:p>
            <w:pPr>
              <w:pStyle w:val="TableContents"/>
              <w:bidi w:val="0"/>
              <w:spacing w:before="0" w:after="283"/>
              <w:jc w:val="left"/>
              <w:rPr/>
            </w:pPr>
            <w:r>
              <w:rPr/>
              <w:t> </w:t>
            </w:r>
          </w:p>
        </w:tc>
        <w:tc>
          <w:tcPr>
            <w:tcW w:w="792"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 </w:t>
            </w:r>
          </w:p>
        </w:tc>
        <w:tc>
          <w:tcPr>
            <w:tcW w:w="140" w:type="dxa"/>
            <w:tcBorders/>
            <w:shd w:fill="CCEEFF" w:val="clear"/>
            <w:vAlign w:val="center"/>
          </w:tcPr>
          <w:p>
            <w:pPr>
              <w:pStyle w:val="TableContents"/>
              <w:bidi w:val="0"/>
              <w:spacing w:before="0" w:after="283"/>
              <w:ind w:left="0" w:right="0" w:firstLine="5"/>
              <w:jc w:val="left"/>
              <w:rPr/>
            </w:pPr>
            <w:r>
              <w:rPr/>
              <w:t> </w:t>
            </w:r>
          </w:p>
        </w:tc>
      </w:tr>
      <w:tr>
        <w:trPr/>
        <w:tc>
          <w:tcPr>
            <w:tcW w:w="3800" w:type="dxa"/>
            <w:tcBorders/>
            <w:vAlign w:val="center"/>
          </w:tcPr>
          <w:p>
            <w:pPr>
              <w:pStyle w:val="TableContents"/>
              <w:bidi w:val="0"/>
              <w:spacing w:before="0" w:after="283"/>
              <w:jc w:val="left"/>
              <w:rPr/>
            </w:pPr>
            <w:r>
              <w:rPr/>
              <w:t>Corporate bonds</w:t>
            </w:r>
          </w:p>
        </w:tc>
        <w:tc>
          <w:tcPr>
            <w:tcW w:w="90" w:type="dxa"/>
            <w:tcBorders/>
            <w:vAlign w:val="center"/>
          </w:tcPr>
          <w:p>
            <w:pPr>
              <w:pStyle w:val="TableContents"/>
              <w:bidi w:val="0"/>
              <w:spacing w:before="0" w:after="283"/>
              <w:jc w:val="left"/>
              <w:rPr/>
            </w:pPr>
            <w:r>
              <w:rPr/>
              <w:t> </w:t>
            </w:r>
          </w:p>
        </w:tc>
        <w:tc>
          <w:tcPr>
            <w:tcW w:w="192" w:type="dxa"/>
            <w:tcBorders>
              <w:bottom w:val="single" w:sz="12" w:space="0" w:color="000000"/>
            </w:tcBorders>
            <w:tcMar>
              <w:bottom w:w="28" w:type="dxa"/>
            </w:tcMar>
            <w:vAlign w:val="center"/>
          </w:tcPr>
          <w:p>
            <w:pPr>
              <w:pStyle w:val="TableContents"/>
              <w:bidi w:val="0"/>
              <w:spacing w:before="0" w:after="283"/>
              <w:jc w:val="left"/>
              <w:rPr/>
            </w:pPr>
            <w:r>
              <w:rPr/>
              <w:t> </w:t>
            </w:r>
          </w:p>
        </w:tc>
        <w:tc>
          <w:tcPr>
            <w:tcW w:w="938" w:type="dxa"/>
            <w:tcBorders>
              <w:bottom w:val="single" w:sz="12" w:space="0" w:color="000000"/>
            </w:tcBorders>
            <w:tcMar>
              <w:bottom w:w="28" w:type="dxa"/>
            </w:tcMar>
            <w:vAlign w:val="center"/>
          </w:tcPr>
          <w:p>
            <w:pPr>
              <w:pStyle w:val="TableContents"/>
              <w:bidi w:val="0"/>
              <w:spacing w:before="0" w:after="283"/>
              <w:jc w:val="right"/>
              <w:rPr/>
            </w:pPr>
            <w:r>
              <w:rPr/>
              <w:t>42,359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40" w:type="dxa"/>
            <w:tcBorders>
              <w:bottom w:val="single" w:sz="12" w:space="0" w:color="000000"/>
            </w:tcBorders>
            <w:tcMar>
              <w:bottom w:w="28" w:type="dxa"/>
            </w:tcMar>
            <w:vAlign w:val="center"/>
          </w:tcPr>
          <w:p>
            <w:pPr>
              <w:pStyle w:val="TableContents"/>
              <w:bidi w:val="0"/>
              <w:spacing w:before="0" w:after="283"/>
              <w:jc w:val="left"/>
              <w:rPr/>
            </w:pPr>
            <w:r>
              <w:rPr/>
              <w:t> </w:t>
            </w:r>
          </w:p>
        </w:tc>
        <w:tc>
          <w:tcPr>
            <w:tcW w:w="820" w:type="dxa"/>
            <w:tcBorders>
              <w:bottom w:val="single" w:sz="12" w:space="0" w:color="000000"/>
            </w:tcBorders>
            <w:tcMar>
              <w:bottom w:w="28" w:type="dxa"/>
            </w:tcMar>
            <w:vAlign w:val="center"/>
          </w:tcPr>
          <w:p>
            <w:pPr>
              <w:pStyle w:val="TableContents"/>
              <w:bidi w:val="0"/>
              <w:spacing w:before="0" w:after="283"/>
              <w:jc w:val="right"/>
              <w:rPr/>
            </w:pPr>
            <w:r>
              <w:rPr/>
              <w:t>11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68" w:type="dxa"/>
            <w:tcBorders>
              <w:bottom w:val="single" w:sz="12" w:space="0" w:color="000000"/>
            </w:tcBorders>
            <w:tcMar>
              <w:bottom w:w="28" w:type="dxa"/>
            </w:tcMar>
            <w:vAlign w:val="center"/>
          </w:tcPr>
          <w:p>
            <w:pPr>
              <w:pStyle w:val="TableContents"/>
              <w:bidi w:val="0"/>
              <w:spacing w:before="0" w:after="283"/>
              <w:jc w:val="left"/>
              <w:rPr/>
            </w:pPr>
            <w:r>
              <w:rPr/>
              <w:t> </w:t>
            </w:r>
          </w:p>
        </w:tc>
        <w:tc>
          <w:tcPr>
            <w:tcW w:w="792" w:type="dxa"/>
            <w:tcBorders>
              <w:bottom w:val="single" w:sz="12" w:space="0" w:color="000000"/>
            </w:tcBorders>
            <w:tcMar>
              <w:bottom w:w="28" w:type="dxa"/>
            </w:tcMar>
            <w:vAlign w:val="center"/>
          </w:tcPr>
          <w:p>
            <w:pPr>
              <w:pStyle w:val="TableContents"/>
              <w:bidi w:val="0"/>
              <w:spacing w:before="0" w:after="283"/>
              <w:jc w:val="right"/>
              <w:rPr/>
            </w:pPr>
            <w:r>
              <w:rPr/>
              <w:t>(34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93" w:type="dxa"/>
            <w:tcBorders>
              <w:bottom w:val="single" w:sz="12" w:space="0" w:color="000000"/>
            </w:tcBorders>
            <w:tcMar>
              <w:bottom w:w="28" w:type="dxa"/>
            </w:tcMar>
            <w:vAlign w:val="center"/>
          </w:tcPr>
          <w:p>
            <w:pPr>
              <w:pStyle w:val="TableContents"/>
              <w:bidi w:val="0"/>
              <w:spacing w:before="0" w:after="283"/>
              <w:jc w:val="left"/>
              <w:rPr/>
            </w:pPr>
            <w:r>
              <w:rPr/>
              <w:t> </w:t>
            </w:r>
          </w:p>
        </w:tc>
        <w:tc>
          <w:tcPr>
            <w:tcW w:w="951" w:type="dxa"/>
            <w:tcBorders>
              <w:bottom w:val="single" w:sz="12" w:space="0" w:color="000000"/>
            </w:tcBorders>
            <w:tcMar>
              <w:bottom w:w="28" w:type="dxa"/>
            </w:tcMar>
            <w:vAlign w:val="center"/>
          </w:tcPr>
          <w:p>
            <w:pPr>
              <w:pStyle w:val="TableContents"/>
              <w:bidi w:val="0"/>
              <w:spacing w:before="0" w:after="283"/>
              <w:jc w:val="right"/>
              <w:rPr/>
            </w:pPr>
            <w:r>
              <w:rPr/>
              <w:t>42,336</w:t>
            </w:r>
          </w:p>
        </w:tc>
        <w:tc>
          <w:tcPr>
            <w:tcW w:w="140" w:type="dxa"/>
            <w:tcBorders/>
            <w:vAlign w:val="center"/>
          </w:tcPr>
          <w:p>
            <w:pPr>
              <w:pStyle w:val="TableContents"/>
              <w:bidi w:val="0"/>
              <w:spacing w:before="0" w:after="283"/>
              <w:ind w:left="0" w:right="0" w:hanging="180"/>
              <w:jc w:val="left"/>
              <w:rPr/>
            </w:pPr>
            <w:r>
              <w:rPr/>
              <w:t> </w:t>
            </w:r>
          </w:p>
        </w:tc>
      </w:tr>
      <w:tr>
        <w:trPr/>
        <w:tc>
          <w:tcPr>
            <w:tcW w:w="3800" w:type="dxa"/>
            <w:tcBorders/>
            <w:shd w:fill="CCEEFF" w:val="clear"/>
            <w:vAlign w:val="center"/>
          </w:tcPr>
          <w:p>
            <w:pPr>
              <w:pStyle w:val="TableContents"/>
              <w:bidi w:val="0"/>
              <w:spacing w:before="0" w:after="283"/>
              <w:jc w:val="left"/>
              <w:rPr/>
            </w:pPr>
            <w:r>
              <w:rPr/>
              <w:t>Total</w:t>
            </w:r>
          </w:p>
        </w:tc>
        <w:tc>
          <w:tcPr>
            <w:tcW w:w="90" w:type="dxa"/>
            <w:tcBorders/>
            <w:shd w:fill="CCEEFF" w:val="clear"/>
            <w:vAlign w:val="center"/>
          </w:tcPr>
          <w:p>
            <w:pPr>
              <w:pStyle w:val="TableContents"/>
              <w:bidi w:val="0"/>
              <w:spacing w:before="0" w:after="283"/>
              <w:jc w:val="left"/>
              <w:rPr/>
            </w:pPr>
            <w:r>
              <w:rPr/>
              <w:t> </w:t>
            </w:r>
          </w:p>
        </w:tc>
        <w:tc>
          <w:tcPr>
            <w:tcW w:w="19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38" w:type="dxa"/>
            <w:tcBorders>
              <w:bottom w:val="double" w:sz="10" w:space="0" w:color="000000"/>
            </w:tcBorders>
            <w:shd w:fill="CCEEFF" w:val="clear"/>
            <w:tcMar>
              <w:bottom w:w="28" w:type="dxa"/>
            </w:tcMar>
            <w:vAlign w:val="center"/>
          </w:tcPr>
          <w:p>
            <w:pPr>
              <w:pStyle w:val="TableContents"/>
              <w:bidi w:val="0"/>
              <w:spacing w:before="0" w:after="283"/>
              <w:jc w:val="right"/>
              <w:rPr/>
            </w:pPr>
            <w:r>
              <w:rPr/>
              <w:t>148,143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20" w:type="dxa"/>
            <w:tcBorders>
              <w:bottom w:val="double" w:sz="10" w:space="0" w:color="000000"/>
            </w:tcBorders>
            <w:shd w:fill="CCEEFF" w:val="clear"/>
            <w:tcMar>
              <w:bottom w:w="28" w:type="dxa"/>
            </w:tcMar>
            <w:vAlign w:val="center"/>
          </w:tcPr>
          <w:p>
            <w:pPr>
              <w:pStyle w:val="TableContents"/>
              <w:bidi w:val="0"/>
              <w:spacing w:before="0" w:after="283"/>
              <w:jc w:val="right"/>
              <w:rPr/>
            </w:pPr>
            <w:r>
              <w:rPr/>
              <w:t>146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6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92" w:type="dxa"/>
            <w:tcBorders>
              <w:bottom w:val="double" w:sz="10" w:space="0" w:color="000000"/>
            </w:tcBorders>
            <w:shd w:fill="CCEEFF" w:val="clear"/>
            <w:tcMar>
              <w:bottom w:w="28" w:type="dxa"/>
            </w:tcMar>
            <w:vAlign w:val="center"/>
          </w:tcPr>
          <w:p>
            <w:pPr>
              <w:pStyle w:val="TableContents"/>
              <w:bidi w:val="0"/>
              <w:spacing w:before="0" w:after="283"/>
              <w:jc w:val="right"/>
              <w:rPr/>
            </w:pPr>
            <w:r>
              <w:rPr/>
              <w:t>(56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9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51" w:type="dxa"/>
            <w:tcBorders>
              <w:bottom w:val="double" w:sz="10" w:space="0" w:color="000000"/>
            </w:tcBorders>
            <w:shd w:fill="CCEEFF" w:val="clear"/>
            <w:tcMar>
              <w:bottom w:w="28" w:type="dxa"/>
            </w:tcMar>
            <w:vAlign w:val="center"/>
          </w:tcPr>
          <w:p>
            <w:pPr>
              <w:pStyle w:val="TableContents"/>
              <w:bidi w:val="0"/>
              <w:spacing w:before="0" w:after="283"/>
              <w:jc w:val="right"/>
              <w:rPr/>
            </w:pPr>
            <w:r>
              <w:rPr/>
              <w:t>148,233</w:t>
            </w:r>
          </w:p>
        </w:tc>
        <w:tc>
          <w:tcPr>
            <w:tcW w:w="14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recorded the securities at fair value in its condensed consolidated balance sheets and unrealized gains and losses are reported as a component of accumulated other comprehensive income (loss). For the three and six months ended June 30, 2026 and 2025 there were no realized gains or losses. Gains, if any, would be included in investment income within the condensed consolidated statements of operations and comprehensive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The remaining maturities of all debt securities held at June 30, 2026 was less than five years. There were no sales of securities in the periods presented.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27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Credit Losses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with an amortized cost basis in excess of estimated fair value are assessed to determine what amount of the excess, if any, is caused by expected credit losses.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Marketable debt securities in a loss position consist of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18"/>
        <w:gridCol w:w="90"/>
        <w:gridCol w:w="174"/>
        <w:gridCol w:w="809"/>
        <w:gridCol w:w="100"/>
        <w:gridCol w:w="100"/>
        <w:gridCol w:w="261"/>
        <w:gridCol w:w="719"/>
        <w:gridCol w:w="110"/>
        <w:gridCol w:w="90"/>
        <w:gridCol w:w="212"/>
        <w:gridCol w:w="746"/>
        <w:gridCol w:w="119"/>
        <w:gridCol w:w="119"/>
        <w:gridCol w:w="217"/>
        <w:gridCol w:w="763"/>
        <w:gridCol w:w="90"/>
        <w:gridCol w:w="90"/>
        <w:gridCol w:w="168"/>
        <w:gridCol w:w="790"/>
        <w:gridCol w:w="90"/>
        <w:gridCol w:w="90"/>
        <w:gridCol w:w="261"/>
        <w:gridCol w:w="719"/>
        <w:gridCol w:w="160"/>
      </w:tblGrid>
      <w:tr>
        <w:trPr/>
        <w:tc>
          <w:tcPr>
            <w:tcW w:w="3118" w:type="dxa"/>
            <w:tcBorders/>
            <w:vAlign w:val="center"/>
          </w:tcPr>
          <w:p>
            <w:pPr>
              <w:pStyle w:val="TableContents"/>
              <w:bidi w:val="0"/>
              <w:spacing w:before="0" w:after="283"/>
              <w:ind w:left="0" w:right="0" w:hanging="180"/>
              <w:jc w:val="center"/>
              <w:rPr/>
            </w:pPr>
            <w:r>
              <w:rPr/>
              <w:t> </w:t>
            </w:r>
          </w:p>
        </w:tc>
        <w:tc>
          <w:tcPr>
            <w:tcW w:w="90" w:type="dxa"/>
            <w:tcBorders/>
            <w:vAlign w:val="center"/>
          </w:tcPr>
          <w:p>
            <w:pPr>
              <w:pStyle w:val="TableContents"/>
              <w:bidi w:val="0"/>
              <w:spacing w:before="0" w:after="283"/>
              <w:jc w:val="left"/>
              <w:rPr/>
            </w:pPr>
            <w:r>
              <w:rPr/>
              <w:t> </w:t>
            </w:r>
          </w:p>
        </w:tc>
        <w:tc>
          <w:tcPr>
            <w:tcW w:w="6837" w:type="dxa"/>
            <w:gridSpan w:val="2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 of June 30, 2026</w:t>
            </w:r>
          </w:p>
        </w:tc>
        <w:tc>
          <w:tcPr>
            <w:tcW w:w="160" w:type="dxa"/>
            <w:tcBorders/>
            <w:vAlign w:val="center"/>
          </w:tcPr>
          <w:p>
            <w:pPr>
              <w:pStyle w:val="TableContents"/>
              <w:bidi w:val="0"/>
              <w:spacing w:before="0" w:after="283"/>
              <w:ind w:left="0" w:right="0" w:hanging="180"/>
              <w:jc w:val="left"/>
              <w:rPr/>
            </w:pPr>
            <w:r>
              <w:rPr/>
              <w:t> </w:t>
            </w:r>
          </w:p>
        </w:tc>
      </w:tr>
      <w:tr>
        <w:trPr/>
        <w:tc>
          <w:tcPr>
            <w:tcW w:w="3118"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163"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In Continuous </w:t>
              <w:br/>
              <w:t>Loss Position</w:t>
              <w:br/>
              <w:t>Less Than 12 Months</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76"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In Continuous </w:t>
              <w:br/>
              <w:t>Loss Position</w:t>
              <w:br/>
              <w:t>Greater Than 12 Months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18"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Total</w:t>
            </w:r>
          </w:p>
        </w:tc>
        <w:tc>
          <w:tcPr>
            <w:tcW w:w="160" w:type="dxa"/>
            <w:tcBorders/>
            <w:vAlign w:val="center"/>
          </w:tcPr>
          <w:p>
            <w:pPr>
              <w:pStyle w:val="TableContents"/>
              <w:bidi w:val="0"/>
              <w:spacing w:before="0" w:after="283"/>
              <w:ind w:left="0" w:right="0" w:hanging="180"/>
              <w:jc w:val="left"/>
              <w:rPr/>
            </w:pPr>
            <w:r>
              <w:rPr/>
              <w:t> </w:t>
            </w:r>
          </w:p>
        </w:tc>
      </w:tr>
      <w:tr>
        <w:trPr/>
        <w:tc>
          <w:tcPr>
            <w:tcW w:w="3118"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83"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Estimated</w:t>
              <w:br/>
              <w:t>Fair Value</w:t>
            </w:r>
          </w:p>
        </w:tc>
        <w:tc>
          <w:tcPr>
            <w:tcW w:w="10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9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Unrealized</w:t>
              <w:br/>
              <w:t>Losses</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8"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Estimated</w:t>
              <w:br/>
              <w:t>Fair Value</w:t>
            </w:r>
          </w:p>
        </w:tc>
        <w:tc>
          <w:tcPr>
            <w:tcW w:w="119"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9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Unrealized</w:t>
              <w:br/>
              <w:t>Losses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8"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Estimated</w:t>
              <w:br/>
              <w:t>Fair Value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Unrealized</w:t>
              <w:br/>
              <w:t>Losses</w:t>
            </w:r>
          </w:p>
        </w:tc>
        <w:tc>
          <w:tcPr>
            <w:tcW w:w="160" w:type="dxa"/>
            <w:tcBorders/>
            <w:vAlign w:val="center"/>
          </w:tcPr>
          <w:p>
            <w:pPr>
              <w:pStyle w:val="TableContents"/>
              <w:bidi w:val="0"/>
              <w:spacing w:before="0" w:after="283"/>
              <w:ind w:left="0" w:right="0" w:hanging="180"/>
              <w:jc w:val="left"/>
              <w:rPr/>
            </w:pPr>
            <w:r>
              <w:rPr/>
              <w:t> </w:t>
            </w:r>
          </w:p>
        </w:tc>
      </w:tr>
      <w:tr>
        <w:trPr/>
        <w:tc>
          <w:tcPr>
            <w:tcW w:w="31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Marketable debt securities:</w:t>
            </w:r>
          </w:p>
        </w:tc>
        <w:tc>
          <w:tcPr>
            <w:tcW w:w="90" w:type="dxa"/>
            <w:tcBorders/>
            <w:vAlign w:val="center"/>
          </w:tcPr>
          <w:p>
            <w:pPr>
              <w:pStyle w:val="TableContents"/>
              <w:bidi w:val="0"/>
              <w:spacing w:before="0" w:after="283"/>
              <w:jc w:val="left"/>
              <w:rPr/>
            </w:pPr>
            <w:r>
              <w:rPr/>
              <w:t> </w:t>
            </w:r>
          </w:p>
        </w:tc>
        <w:tc>
          <w:tcPr>
            <w:tcW w:w="983" w:type="dxa"/>
            <w:gridSpan w:val="2"/>
            <w:tcBorders/>
            <w:vAlign w:val="center"/>
          </w:tcPr>
          <w:p>
            <w:pPr>
              <w:pStyle w:val="TableContents"/>
              <w:bidi w:val="0"/>
              <w:spacing w:before="0" w:after="283"/>
              <w:jc w:val="right"/>
              <w:rPr/>
            </w:pPr>
            <w:r>
              <w:rPr/>
              <w:t> </w:t>
            </w:r>
          </w:p>
        </w:tc>
        <w:tc>
          <w:tcPr>
            <w:tcW w:w="10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980"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8" w:type="dxa"/>
            <w:gridSpan w:val="2"/>
            <w:tcBorders/>
            <w:vAlign w:val="center"/>
          </w:tcPr>
          <w:p>
            <w:pPr>
              <w:pStyle w:val="TableContents"/>
              <w:bidi w:val="0"/>
              <w:spacing w:before="0" w:after="283"/>
              <w:jc w:val="right"/>
              <w:rPr/>
            </w:pPr>
            <w:r>
              <w:rPr/>
              <w:t> </w:t>
            </w:r>
          </w:p>
        </w:tc>
        <w:tc>
          <w:tcPr>
            <w:tcW w:w="119"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980"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8"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0" w:type="dxa"/>
            <w:gridSpan w:val="2"/>
            <w:tcBorders/>
            <w:vAlign w:val="center"/>
          </w:tcPr>
          <w:p>
            <w:pPr>
              <w:pStyle w:val="TableContents"/>
              <w:bidi w:val="0"/>
              <w:spacing w:before="0" w:after="283"/>
              <w:jc w:val="right"/>
              <w:rPr/>
            </w:pPr>
            <w:r>
              <w:rPr/>
              <w:t> </w:t>
            </w:r>
          </w:p>
        </w:tc>
        <w:tc>
          <w:tcPr>
            <w:tcW w:w="160" w:type="dxa"/>
            <w:tcBorders/>
            <w:vAlign w:val="center"/>
          </w:tcPr>
          <w:p>
            <w:pPr>
              <w:pStyle w:val="TableContents"/>
              <w:bidi w:val="0"/>
              <w:spacing w:before="0" w:after="283"/>
              <w:ind w:left="0" w:right="0" w:hanging="180"/>
              <w:jc w:val="left"/>
              <w:rPr/>
            </w:pPr>
            <w:r>
              <w:rPr/>
              <w:t> </w:t>
            </w:r>
          </w:p>
        </w:tc>
      </w:tr>
      <w:tr>
        <w:trPr/>
        <w:tc>
          <w:tcPr>
            <w:tcW w:w="311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Corporate bonds</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09" w:type="dxa"/>
            <w:tcBorders/>
            <w:shd w:fill="CCEEFF" w:val="clear"/>
            <w:vAlign w:val="center"/>
          </w:tcPr>
          <w:p>
            <w:pPr>
              <w:pStyle w:val="TableContents"/>
              <w:bidi w:val="0"/>
              <w:spacing w:before="0" w:after="283"/>
              <w:jc w:val="right"/>
              <w:rPr/>
            </w:pPr>
            <w:r>
              <w:rPr/>
              <w:t>95,855</w:t>
            </w:r>
          </w:p>
        </w:tc>
        <w:tc>
          <w:tcPr>
            <w:tcW w:w="100"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right"/>
              <w:rPr/>
            </w:pPr>
            <w:r>
              <w:rPr/>
              <w:t> </w:t>
            </w:r>
          </w:p>
        </w:tc>
        <w:tc>
          <w:tcPr>
            <w:tcW w:w="26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1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(224</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46" w:type="dxa"/>
            <w:tcBorders/>
            <w:shd w:fill="CCEEFF" w:val="clear"/>
            <w:vAlign w:val="center"/>
          </w:tcPr>
          <w:p>
            <w:pPr>
              <w:pStyle w:val="TableContents"/>
              <w:bidi w:val="0"/>
              <w:spacing w:before="0" w:after="283"/>
              <w:jc w:val="right"/>
              <w:rPr/>
            </w:pPr>
            <w:r>
              <w:rPr/>
              <w:t>       </w:t>
            </w:r>
            <w:r>
              <w:rPr/>
              <w:t>-</w:t>
            </w:r>
          </w:p>
        </w:tc>
        <w:tc>
          <w:tcPr>
            <w:tcW w:w="119"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63" w:type="dxa"/>
            <w:tcBorders/>
            <w:shd w:fill="CCEEFF" w:val="clear"/>
            <w:vAlign w:val="center"/>
          </w:tcPr>
          <w:p>
            <w:pPr>
              <w:pStyle w:val="TableContents"/>
              <w:bidi w:val="0"/>
              <w:spacing w:before="0" w:after="283"/>
              <w:jc w:val="right"/>
              <w:rPr/>
            </w:pPr>
            <w:r>
              <w:rPr/>
              <w:t>       </w:t>
            </w: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90" w:type="dxa"/>
            <w:tcBorders/>
            <w:shd w:fill="CCEEFF" w:val="clear"/>
            <w:vAlign w:val="center"/>
          </w:tcPr>
          <w:p>
            <w:pPr>
              <w:pStyle w:val="TableContents"/>
              <w:bidi w:val="0"/>
              <w:spacing w:before="0" w:after="283"/>
              <w:jc w:val="right"/>
              <w:rPr/>
            </w:pPr>
            <w:r>
              <w:rPr/>
              <w:t>95,855</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26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1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(224</w:t>
            </w:r>
          </w:p>
        </w:tc>
        <w:tc>
          <w:tcPr>
            <w:tcW w:w="160"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31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Commercial paper</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809"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10,962</w:t>
            </w:r>
          </w:p>
        </w:tc>
        <w:tc>
          <w:tcPr>
            <w:tcW w:w="100" w:type="dxa"/>
            <w:tcBorders/>
            <w:vAlign w:val="center"/>
          </w:tcPr>
          <w:p>
            <w:pPr>
              <w:pStyle w:val="TableContents"/>
              <w:bidi w:val="0"/>
              <w:spacing w:before="0" w:after="283"/>
              <w:jc w:val="right"/>
              <w:rPr/>
            </w:pPr>
            <w:r>
              <w:rPr/>
              <w:t> </w:t>
            </w:r>
          </w:p>
        </w:tc>
        <w:tc>
          <w:tcPr>
            <w:tcW w:w="100" w:type="dxa"/>
            <w:tcBorders/>
            <w:vAlign w:val="center"/>
          </w:tcPr>
          <w:p>
            <w:pPr>
              <w:pStyle w:val="TableContents"/>
              <w:bidi w:val="0"/>
              <w:spacing w:before="0" w:after="283"/>
              <w:jc w:val="right"/>
              <w:rPr/>
            </w:pPr>
            <w:r>
              <w:rPr/>
              <w:t> </w:t>
            </w:r>
          </w:p>
        </w:tc>
        <w:tc>
          <w:tcPr>
            <w:tcW w:w="261" w:type="dxa"/>
            <w:tcBorders/>
            <w:vAlign w:val="center"/>
          </w:tcPr>
          <w:p>
            <w:pPr>
              <w:pStyle w:val="TableContents"/>
              <w:bidi w:val="0"/>
              <w:spacing w:before="0" w:after="283"/>
              <w:jc w:val="right"/>
              <w:rPr/>
            </w:pPr>
            <w:r>
              <w:rPr/>
              <w:t> </w:t>
            </w:r>
          </w:p>
        </w:tc>
        <w:tc>
          <w:tcPr>
            <w:tcW w:w="719"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746" w:type="dxa"/>
            <w:tcBorders/>
            <w:vAlign w:val="center"/>
          </w:tcPr>
          <w:p>
            <w:pPr>
              <w:pStyle w:val="TableContents"/>
              <w:bidi w:val="0"/>
              <w:spacing w:before="0" w:after="283"/>
              <w:jc w:val="right"/>
              <w:rPr/>
            </w:pPr>
            <w:r>
              <w:rPr/>
              <w:t>-</w:t>
            </w:r>
          </w:p>
        </w:tc>
        <w:tc>
          <w:tcPr>
            <w:tcW w:w="119"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763"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79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10,962</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261" w:type="dxa"/>
            <w:tcBorders/>
            <w:vAlign w:val="center"/>
          </w:tcPr>
          <w:p>
            <w:pPr>
              <w:pStyle w:val="TableContents"/>
              <w:bidi w:val="0"/>
              <w:spacing w:before="0" w:after="283"/>
              <w:jc w:val="right"/>
              <w:rPr/>
            </w:pPr>
            <w:r>
              <w:rPr/>
              <w:t> </w:t>
            </w:r>
          </w:p>
        </w:tc>
        <w:tc>
          <w:tcPr>
            <w:tcW w:w="719"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w:t>
            </w:r>
          </w:p>
        </w:tc>
        <w:tc>
          <w:tcPr>
            <w:tcW w:w="160"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311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Marketable debt securities, non-current:</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right"/>
              <w:rPr/>
            </w:pPr>
            <w:r>
              <w:rPr/>
              <w:t> </w:t>
            </w:r>
          </w:p>
        </w:tc>
        <w:tc>
          <w:tcPr>
            <w:tcW w:w="261" w:type="dxa"/>
            <w:tcBorders/>
            <w:shd w:fill="CCEEFF" w:val="clear"/>
            <w:vAlign w:val="center"/>
          </w:tcPr>
          <w:p>
            <w:pPr>
              <w:pStyle w:val="TableContents"/>
              <w:bidi w:val="0"/>
              <w:spacing w:before="0" w:after="283"/>
              <w:jc w:val="right"/>
              <w:rPr/>
            </w:pPr>
            <w:r>
              <w:rPr/>
              <w:t> </w:t>
            </w:r>
          </w:p>
        </w:tc>
        <w:tc>
          <w:tcPr>
            <w:tcW w:w="719"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746" w:type="dxa"/>
            <w:tcBorders/>
            <w:shd w:fill="CCEEFF" w:val="clear"/>
            <w:vAlign w:val="center"/>
          </w:tcPr>
          <w:p>
            <w:pPr>
              <w:pStyle w:val="TableContents"/>
              <w:bidi w:val="0"/>
              <w:spacing w:before="0" w:after="283"/>
              <w:jc w:val="right"/>
              <w:rPr/>
            </w:pPr>
            <w:r>
              <w:rPr/>
              <w:t> </w:t>
            </w:r>
          </w:p>
        </w:tc>
        <w:tc>
          <w:tcPr>
            <w:tcW w:w="119"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261" w:type="dxa"/>
            <w:tcBorders/>
            <w:shd w:fill="CCEEFF" w:val="clear"/>
            <w:vAlign w:val="center"/>
          </w:tcPr>
          <w:p>
            <w:pPr>
              <w:pStyle w:val="TableContents"/>
              <w:bidi w:val="0"/>
              <w:spacing w:before="0" w:after="283"/>
              <w:jc w:val="right"/>
              <w:rPr/>
            </w:pPr>
            <w:r>
              <w:rPr/>
              <w:t> </w:t>
            </w:r>
          </w:p>
        </w:tc>
        <w:tc>
          <w:tcPr>
            <w:tcW w:w="719" w:type="dxa"/>
            <w:tcBorders/>
            <w:shd w:fill="CCEEFF" w:val="clear"/>
            <w:vAlign w:val="center"/>
          </w:tcPr>
          <w:p>
            <w:pPr>
              <w:pStyle w:val="TableContents"/>
              <w:bidi w:val="0"/>
              <w:spacing w:before="0" w:after="283"/>
              <w:jc w:val="right"/>
              <w:rPr/>
            </w:pPr>
            <w:r>
              <w:rPr/>
              <w:t> </w:t>
            </w:r>
          </w:p>
        </w:tc>
        <w:tc>
          <w:tcPr>
            <w:tcW w:w="160" w:type="dxa"/>
            <w:tcBorders/>
            <w:shd w:fill="CCEEFF" w:val="clear"/>
            <w:vAlign w:val="center"/>
          </w:tcPr>
          <w:p>
            <w:pPr>
              <w:pStyle w:val="TableContents"/>
              <w:bidi w:val="0"/>
              <w:spacing w:before="0" w:after="283"/>
              <w:ind w:left="0" w:right="0" w:hanging="180"/>
              <w:jc w:val="left"/>
              <w:rPr/>
            </w:pPr>
            <w:r>
              <w:rPr/>
              <w:t> </w:t>
            </w:r>
          </w:p>
        </w:tc>
      </w:tr>
      <w:tr>
        <w:trPr/>
        <w:tc>
          <w:tcPr>
            <w:tcW w:w="31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Corporate bonds</w:t>
            </w:r>
          </w:p>
        </w:tc>
        <w:tc>
          <w:tcPr>
            <w:tcW w:w="90" w:type="dxa"/>
            <w:tcBorders/>
            <w:vAlign w:val="center"/>
          </w:tcPr>
          <w:p>
            <w:pPr>
              <w:pStyle w:val="TableContents"/>
              <w:bidi w:val="0"/>
              <w:spacing w:before="0" w:after="283"/>
              <w:jc w:val="left"/>
              <w:rPr/>
            </w:pPr>
            <w:r>
              <w:rPr/>
              <w:t> </w:t>
            </w:r>
          </w:p>
        </w:tc>
        <w:tc>
          <w:tcPr>
            <w:tcW w:w="174" w:type="dxa"/>
            <w:tcBorders>
              <w:bottom w:val="single" w:sz="12" w:space="0" w:color="000000"/>
            </w:tcBorders>
            <w:tcMar>
              <w:bottom w:w="28" w:type="dxa"/>
            </w:tcMar>
            <w:vAlign w:val="center"/>
          </w:tcPr>
          <w:p>
            <w:pPr>
              <w:pStyle w:val="TableContents"/>
              <w:bidi w:val="0"/>
              <w:spacing w:before="0" w:after="283"/>
              <w:jc w:val="left"/>
              <w:rPr/>
            </w:pPr>
            <w:r>
              <w:rPr/>
              <w:t> </w:t>
            </w:r>
          </w:p>
        </w:tc>
        <w:tc>
          <w:tcPr>
            <w:tcW w:w="809" w:type="dxa"/>
            <w:tcBorders>
              <w:bottom w:val="single" w:sz="12" w:space="0" w:color="000000"/>
            </w:tcBorders>
            <w:tcMar>
              <w:bottom w:w="28" w:type="dxa"/>
            </w:tcMar>
            <w:vAlign w:val="center"/>
          </w:tcPr>
          <w:p>
            <w:pPr>
              <w:pStyle w:val="TableContents"/>
              <w:bidi w:val="0"/>
              <w:spacing w:before="0" w:after="283"/>
              <w:jc w:val="right"/>
              <w:rPr/>
            </w:pPr>
            <w:r>
              <w:rPr/>
              <w:t>19,356</w:t>
            </w:r>
          </w:p>
        </w:tc>
        <w:tc>
          <w:tcPr>
            <w:tcW w:w="100" w:type="dxa"/>
            <w:tcBorders/>
            <w:vAlign w:val="center"/>
          </w:tcPr>
          <w:p>
            <w:pPr>
              <w:pStyle w:val="TableContents"/>
              <w:bidi w:val="0"/>
              <w:spacing w:before="0" w:after="283"/>
              <w:jc w:val="right"/>
              <w:rPr/>
            </w:pPr>
            <w:r>
              <w:rPr/>
              <w:t> </w:t>
            </w:r>
          </w:p>
        </w:tc>
        <w:tc>
          <w:tcPr>
            <w:tcW w:w="100" w:type="dxa"/>
            <w:tcBorders/>
            <w:vAlign w:val="center"/>
          </w:tcPr>
          <w:p>
            <w:pPr>
              <w:pStyle w:val="TableContents"/>
              <w:bidi w:val="0"/>
              <w:spacing w:before="0" w:after="283"/>
              <w:jc w:val="right"/>
              <w:rPr/>
            </w:pPr>
            <w:r>
              <w:rPr/>
              <w:t> </w:t>
            </w:r>
          </w:p>
        </w:tc>
        <w:tc>
          <w:tcPr>
            <w:tcW w:w="261" w:type="dxa"/>
            <w:tcBorders>
              <w:bottom w:val="single" w:sz="12" w:space="0" w:color="000000"/>
            </w:tcBorders>
            <w:tcMar>
              <w:bottom w:w="28" w:type="dxa"/>
            </w:tcMar>
            <w:vAlign w:val="center"/>
          </w:tcPr>
          <w:p>
            <w:pPr>
              <w:pStyle w:val="TableContents"/>
              <w:bidi w:val="0"/>
              <w:spacing w:before="0" w:after="283"/>
              <w:jc w:val="right"/>
              <w:rPr/>
            </w:pPr>
            <w:r>
              <w:rPr/>
              <w:t> </w:t>
            </w:r>
          </w:p>
        </w:tc>
        <w:tc>
          <w:tcPr>
            <w:tcW w:w="719"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(144</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212" w:type="dxa"/>
            <w:tcBorders>
              <w:bottom w:val="single" w:sz="12" w:space="0" w:color="000000"/>
            </w:tcBorders>
            <w:tcMar>
              <w:bottom w:w="28" w:type="dxa"/>
            </w:tcMar>
            <w:vAlign w:val="center"/>
          </w:tcPr>
          <w:p>
            <w:pPr>
              <w:pStyle w:val="TableContents"/>
              <w:bidi w:val="0"/>
              <w:spacing w:before="0" w:after="283"/>
              <w:jc w:val="left"/>
              <w:rPr/>
            </w:pPr>
            <w:r>
              <w:rPr/>
              <w:t> </w:t>
            </w:r>
          </w:p>
        </w:tc>
        <w:tc>
          <w:tcPr>
            <w:tcW w:w="746" w:type="dxa"/>
            <w:tcBorders>
              <w:bottom w:val="single" w:sz="12" w:space="0" w:color="000000"/>
            </w:tcBorders>
            <w:tcMar>
              <w:bottom w:w="28" w:type="dxa"/>
            </w:tcMar>
            <w:vAlign w:val="center"/>
          </w:tcPr>
          <w:p>
            <w:pPr>
              <w:pStyle w:val="TableContents"/>
              <w:bidi w:val="0"/>
              <w:spacing w:before="0" w:after="283"/>
              <w:jc w:val="right"/>
              <w:rPr/>
            </w:pPr>
            <w:r>
              <w:rPr/>
              <w:t>-</w:t>
            </w:r>
          </w:p>
        </w:tc>
        <w:tc>
          <w:tcPr>
            <w:tcW w:w="119"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217" w:type="dxa"/>
            <w:tcBorders>
              <w:bottom w:val="single" w:sz="12" w:space="0" w:color="000000"/>
            </w:tcBorders>
            <w:tcMar>
              <w:bottom w:w="28" w:type="dxa"/>
            </w:tcMar>
            <w:vAlign w:val="center"/>
          </w:tcPr>
          <w:p>
            <w:pPr>
              <w:pStyle w:val="TableContents"/>
              <w:bidi w:val="0"/>
              <w:spacing w:before="0" w:after="283"/>
              <w:jc w:val="left"/>
              <w:rPr/>
            </w:pPr>
            <w:r>
              <w:rPr/>
              <w:t> </w:t>
            </w:r>
          </w:p>
        </w:tc>
        <w:tc>
          <w:tcPr>
            <w:tcW w:w="763" w:type="dxa"/>
            <w:tcBorders>
              <w:bottom w:val="single" w:sz="12"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8" w:type="dxa"/>
            <w:tcBorders>
              <w:bottom w:val="single" w:sz="12" w:space="0" w:color="000000"/>
            </w:tcBorders>
            <w:tcMar>
              <w:bottom w:w="28" w:type="dxa"/>
            </w:tcMar>
            <w:vAlign w:val="center"/>
          </w:tcPr>
          <w:p>
            <w:pPr>
              <w:pStyle w:val="TableContents"/>
              <w:bidi w:val="0"/>
              <w:spacing w:before="0" w:after="283"/>
              <w:jc w:val="left"/>
              <w:rPr/>
            </w:pPr>
            <w:r>
              <w:rPr/>
              <w:t> </w:t>
            </w:r>
          </w:p>
        </w:tc>
        <w:tc>
          <w:tcPr>
            <w:tcW w:w="79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19,356</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261" w:type="dxa"/>
            <w:tcBorders>
              <w:bottom w:val="single" w:sz="12" w:space="0" w:color="000000"/>
            </w:tcBorders>
            <w:tcMar>
              <w:bottom w:w="28" w:type="dxa"/>
            </w:tcMar>
            <w:vAlign w:val="center"/>
          </w:tcPr>
          <w:p>
            <w:pPr>
              <w:pStyle w:val="TableContents"/>
              <w:bidi w:val="0"/>
              <w:spacing w:before="0" w:after="283"/>
              <w:jc w:val="right"/>
              <w:rPr/>
            </w:pPr>
            <w:r>
              <w:rPr/>
              <w:t> </w:t>
            </w:r>
          </w:p>
        </w:tc>
        <w:tc>
          <w:tcPr>
            <w:tcW w:w="719"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(144</w:t>
            </w:r>
          </w:p>
        </w:tc>
        <w:tc>
          <w:tcPr>
            <w:tcW w:w="160"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311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w:t>
            </w:r>
          </w:p>
        </w:tc>
        <w:tc>
          <w:tcPr>
            <w:tcW w:w="90" w:type="dxa"/>
            <w:tcBorders/>
            <w:shd w:fill="CCEEFF" w:val="clear"/>
            <w:vAlign w:val="center"/>
          </w:tcPr>
          <w:p>
            <w:pPr>
              <w:pStyle w:val="TableContents"/>
              <w:bidi w:val="0"/>
              <w:spacing w:before="0" w:after="283"/>
              <w:jc w:val="left"/>
              <w:rPr/>
            </w:pPr>
            <w:r>
              <w:rPr/>
              <w:t> </w:t>
            </w:r>
          </w:p>
        </w:tc>
        <w:tc>
          <w:tcPr>
            <w:tcW w:w="174" w:type="dxa"/>
            <w:tcBorders>
              <w:bottom w:val="doub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09" w:type="dxa"/>
            <w:tcBorders>
              <w:bottom w:val="doub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126,173</w:t>
            </w:r>
          </w:p>
        </w:tc>
        <w:tc>
          <w:tcPr>
            <w:tcW w:w="100"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right"/>
              <w:rPr/>
            </w:pPr>
            <w:r>
              <w:rPr/>
              <w:t> </w:t>
            </w:r>
          </w:p>
        </w:tc>
        <w:tc>
          <w:tcPr>
            <w:tcW w:w="261" w:type="dxa"/>
            <w:tcBorders>
              <w:bottom w:val="doub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19" w:type="dxa"/>
            <w:tcBorders>
              <w:bottom w:val="doub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(371</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212" w:type="dxa"/>
            <w:tcBorders>
              <w:bottom w:val="doub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46" w:type="dxa"/>
            <w:tcBorders>
              <w:bottom w:val="double" w:sz="12" w:space="0" w:color="000000"/>
            </w:tcBorders>
            <w:shd w:fill="CCEEFF" w:val="clear"/>
            <w:tcMar>
              <w:bottom w:w="28" w:type="dxa"/>
            </w:tcMar>
            <w:vAlign w:val="center"/>
          </w:tcPr>
          <w:p>
            <w:pPr>
              <w:pStyle w:val="TableContents"/>
              <w:bidi w:val="0"/>
              <w:spacing w:before="0" w:after="283"/>
              <w:jc w:val="right"/>
              <w:rPr/>
            </w:pPr>
            <w:r>
              <w:rPr/>
              <w:t>-</w:t>
            </w:r>
          </w:p>
        </w:tc>
        <w:tc>
          <w:tcPr>
            <w:tcW w:w="119"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217" w:type="dxa"/>
            <w:tcBorders>
              <w:bottom w:val="doub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63" w:type="dxa"/>
            <w:tcBorders>
              <w:bottom w:val="doub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8" w:type="dxa"/>
            <w:tcBorders>
              <w:bottom w:val="doub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90" w:type="dxa"/>
            <w:tcBorders>
              <w:bottom w:val="doub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126,173</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261" w:type="dxa"/>
            <w:tcBorders>
              <w:bottom w:val="doub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19" w:type="dxa"/>
            <w:tcBorders>
              <w:bottom w:val="doub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(371</w:t>
            </w:r>
          </w:p>
        </w:tc>
        <w:tc>
          <w:tcPr>
            <w:tcW w:w="1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Protara Therapeutics,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(amounts in thousands, except share and per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83"/>
        <w:gridCol w:w="90"/>
        <w:gridCol w:w="240"/>
        <w:gridCol w:w="885"/>
        <w:gridCol w:w="101"/>
        <w:gridCol w:w="101"/>
        <w:gridCol w:w="368"/>
        <w:gridCol w:w="792"/>
        <w:gridCol w:w="125"/>
        <w:gridCol w:w="90"/>
        <w:gridCol w:w="629"/>
        <w:gridCol w:w="463"/>
        <w:gridCol w:w="194"/>
        <w:gridCol w:w="194"/>
        <w:gridCol w:w="664"/>
        <w:gridCol w:w="496"/>
        <w:gridCol w:w="90"/>
        <w:gridCol w:w="90"/>
        <w:gridCol w:w="210"/>
        <w:gridCol w:w="883"/>
        <w:gridCol w:w="90"/>
        <w:gridCol w:w="90"/>
        <w:gridCol w:w="368"/>
        <w:gridCol w:w="792"/>
        <w:gridCol w:w="177"/>
      </w:tblGrid>
      <w:tr>
        <w:trPr/>
        <w:tc>
          <w:tcPr>
            <w:tcW w:w="1983"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7955" w:type="dxa"/>
            <w:gridSpan w:val="22"/>
            <w:tcBorders>
              <w:bottom w:val="single" w:sz="12" w:space="0" w:color="000000"/>
            </w:tcBorders>
            <w:tcMar>
              <w:bottom w:w="28" w:type="dxa"/>
            </w:tcMar>
            <w:vAlign w:val="center"/>
          </w:tcPr>
          <w:p>
            <w:pPr>
              <w:pStyle w:val="TableContents"/>
              <w:bidi w:val="0"/>
              <w:spacing w:before="0" w:after="283"/>
              <w:jc w:val="center"/>
              <w:rPr>
                <w:b/>
              </w:rPr>
            </w:pPr>
            <w:r>
              <w:rPr>
                <w:b/>
              </w:rPr>
              <w:t>As of December 31, 2025</w:t>
            </w:r>
          </w:p>
        </w:tc>
        <w:tc>
          <w:tcPr>
            <w:tcW w:w="177" w:type="dxa"/>
            <w:tcBorders/>
            <w:vAlign w:val="center"/>
          </w:tcPr>
          <w:p>
            <w:pPr>
              <w:pStyle w:val="TableContents"/>
              <w:bidi w:val="0"/>
              <w:spacing w:before="0" w:after="283"/>
              <w:jc w:val="left"/>
              <w:rPr/>
            </w:pPr>
            <w:r>
              <w:rPr/>
              <w:t> </w:t>
            </w:r>
          </w:p>
        </w:tc>
      </w:tr>
      <w:tr>
        <w:trPr/>
        <w:tc>
          <w:tcPr>
            <w:tcW w:w="1983"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48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In Continuous </w:t>
              <w:br/>
              <w:t>Loss Position</w:t>
              <w:br/>
              <w:t>Less Than 12 Months</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264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In Continuous </w:t>
              <w:br/>
              <w:t>Loss Position</w:t>
              <w:br/>
              <w:t>Greater Than 12 Months</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243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77" w:type="dxa"/>
            <w:tcBorders/>
            <w:vAlign w:val="center"/>
          </w:tcPr>
          <w:p>
            <w:pPr>
              <w:pStyle w:val="TableContents"/>
              <w:bidi w:val="0"/>
              <w:spacing w:before="0" w:after="283"/>
              <w:jc w:val="center"/>
              <w:rPr/>
            </w:pPr>
            <w:r>
              <w:rPr/>
              <w:t> </w:t>
            </w:r>
          </w:p>
        </w:tc>
      </w:tr>
      <w:tr>
        <w:trPr/>
        <w:tc>
          <w:tcPr>
            <w:tcW w:w="1983"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1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Estimated</w:t>
              <w:br/>
              <w:t>Fair Value</w:t>
            </w:r>
          </w:p>
        </w:tc>
        <w:tc>
          <w:tcPr>
            <w:tcW w:w="101" w:type="dxa"/>
            <w:tcBorders/>
            <w:vAlign w:val="center"/>
          </w:tcPr>
          <w:p>
            <w:pPr>
              <w:pStyle w:val="TableContents"/>
              <w:bidi w:val="0"/>
              <w:spacing w:before="0" w:after="283"/>
              <w:jc w:val="center"/>
              <w:rPr/>
            </w:pPr>
            <w:r>
              <w:rPr/>
              <w:t> </w:t>
            </w:r>
          </w:p>
        </w:tc>
        <w:tc>
          <w:tcPr>
            <w:tcW w:w="101" w:type="dxa"/>
            <w:tcBorders/>
            <w:vAlign w:val="center"/>
          </w:tcPr>
          <w:p>
            <w:pPr>
              <w:pStyle w:val="TableContents"/>
              <w:bidi w:val="0"/>
              <w:spacing w:before="0" w:after="283"/>
              <w:jc w:val="center"/>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Unrealized</w:t>
              <w:br/>
              <w:t>Losses</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9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Estimated</w:t>
              <w:br/>
              <w:t>Fair Value</w:t>
            </w:r>
          </w:p>
        </w:tc>
        <w:tc>
          <w:tcPr>
            <w:tcW w:w="194" w:type="dxa"/>
            <w:tcBorders/>
            <w:vAlign w:val="center"/>
          </w:tcPr>
          <w:p>
            <w:pPr>
              <w:pStyle w:val="TableContents"/>
              <w:bidi w:val="0"/>
              <w:spacing w:before="0" w:after="283"/>
              <w:jc w:val="center"/>
              <w:rPr/>
            </w:pPr>
            <w:r>
              <w:rPr/>
              <w:t> </w:t>
            </w:r>
          </w:p>
        </w:tc>
        <w:tc>
          <w:tcPr>
            <w:tcW w:w="194" w:type="dxa"/>
            <w:tcBorders/>
            <w:vAlign w:val="center"/>
          </w:tcPr>
          <w:p>
            <w:pPr>
              <w:pStyle w:val="TableContents"/>
              <w:bidi w:val="0"/>
              <w:spacing w:before="0" w:after="283"/>
              <w:jc w:val="center"/>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Unrealized</w:t>
              <w:br/>
              <w:t>Losses</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9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Estimated</w:t>
              <w:br/>
              <w:t>Fair Value</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Unrealized</w:t>
              <w:br/>
              <w:t>Losses</w:t>
            </w:r>
          </w:p>
        </w:tc>
        <w:tc>
          <w:tcPr>
            <w:tcW w:w="177" w:type="dxa"/>
            <w:tcBorders/>
            <w:vAlign w:val="center"/>
          </w:tcPr>
          <w:p>
            <w:pPr>
              <w:pStyle w:val="TableContents"/>
              <w:bidi w:val="0"/>
              <w:spacing w:before="0" w:after="283"/>
              <w:jc w:val="center"/>
              <w:rPr/>
            </w:pPr>
            <w:r>
              <w:rPr/>
              <w:t> </w:t>
            </w:r>
          </w:p>
        </w:tc>
      </w:tr>
      <w:tr>
        <w:trPr/>
        <w:tc>
          <w:tcPr>
            <w:tcW w:w="1983" w:type="dxa"/>
            <w:tcBorders/>
            <w:vAlign w:val="center"/>
          </w:tcPr>
          <w:p>
            <w:pPr>
              <w:pStyle w:val="TableContents"/>
              <w:bidi w:val="0"/>
              <w:spacing w:before="0" w:after="283"/>
              <w:jc w:val="left"/>
              <w:rPr/>
            </w:pPr>
            <w:r>
              <w:rPr/>
              <w:t>Marketable debt securities:</w:t>
            </w:r>
          </w:p>
        </w:tc>
        <w:tc>
          <w:tcPr>
            <w:tcW w:w="90" w:type="dxa"/>
            <w:tcBorders/>
            <w:vAlign w:val="center"/>
          </w:tcPr>
          <w:p>
            <w:pPr>
              <w:pStyle w:val="TableContents"/>
              <w:bidi w:val="0"/>
              <w:spacing w:before="0" w:after="283"/>
              <w:jc w:val="left"/>
              <w:rPr/>
            </w:pPr>
            <w:r>
              <w:rPr/>
              <w:t> </w:t>
            </w:r>
          </w:p>
        </w:tc>
        <w:tc>
          <w:tcPr>
            <w:tcW w:w="1125" w:type="dxa"/>
            <w:gridSpan w:val="2"/>
            <w:tcBorders/>
            <w:vAlign w:val="center"/>
          </w:tcPr>
          <w:p>
            <w:pPr>
              <w:pStyle w:val="TableContents"/>
              <w:bidi w:val="0"/>
              <w:spacing w:before="0" w:after="283"/>
              <w:jc w:val="right"/>
              <w:rPr/>
            </w:pPr>
            <w:r>
              <w:rPr/>
              <w:t> </w:t>
            </w:r>
          </w:p>
        </w:tc>
        <w:tc>
          <w:tcPr>
            <w:tcW w:w="101"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2" w:type="dxa"/>
            <w:gridSpan w:val="2"/>
            <w:tcBorders/>
            <w:vAlign w:val="center"/>
          </w:tcPr>
          <w:p>
            <w:pPr>
              <w:pStyle w:val="TableContents"/>
              <w:bidi w:val="0"/>
              <w:spacing w:before="0" w:after="283"/>
              <w:jc w:val="right"/>
              <w:rPr/>
            </w:pPr>
            <w:r>
              <w:rPr/>
              <w:t> </w:t>
            </w:r>
          </w:p>
        </w:tc>
        <w:tc>
          <w:tcPr>
            <w:tcW w:w="194"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3"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right"/>
              <w:rPr/>
            </w:pPr>
            <w:r>
              <w:rPr/>
              <w:t> </w:t>
            </w:r>
          </w:p>
        </w:tc>
        <w:tc>
          <w:tcPr>
            <w:tcW w:w="177" w:type="dxa"/>
            <w:tcBorders/>
            <w:vAlign w:val="center"/>
          </w:tcPr>
          <w:p>
            <w:pPr>
              <w:pStyle w:val="TableContents"/>
              <w:bidi w:val="0"/>
              <w:spacing w:before="0" w:after="283"/>
              <w:ind w:left="0" w:right="0" w:hanging="180"/>
              <w:jc w:val="left"/>
              <w:rPr/>
            </w:pPr>
            <w:r>
              <w:rPr/>
              <w:t> </w:t>
            </w:r>
          </w:p>
        </w:tc>
      </w:tr>
      <w:tr>
        <w:trPr/>
        <w:tc>
          <w:tcPr>
            <w:tcW w:w="1983" w:type="dxa"/>
            <w:tcBorders/>
            <w:shd w:fill="CCEEFF" w:val="clear"/>
            <w:vAlign w:val="center"/>
          </w:tcPr>
          <w:p>
            <w:pPr>
              <w:pStyle w:val="TableContents"/>
              <w:bidi w:val="0"/>
              <w:spacing w:before="0" w:after="283"/>
              <w:jc w:val="left"/>
              <w:rPr/>
            </w:pPr>
            <w:r>
              <w:rPr/>
              <w:t>Corporate bonds</w:t>
            </w:r>
          </w:p>
        </w:tc>
        <w:tc>
          <w:tcPr>
            <w:tcW w:w="9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w:t>
            </w:r>
          </w:p>
        </w:tc>
        <w:tc>
          <w:tcPr>
            <w:tcW w:w="885" w:type="dxa"/>
            <w:tcBorders/>
            <w:shd w:fill="CCEEFF" w:val="clear"/>
            <w:vAlign w:val="center"/>
          </w:tcPr>
          <w:p>
            <w:pPr>
              <w:pStyle w:val="TableContents"/>
              <w:bidi w:val="0"/>
              <w:spacing w:before="0" w:after="283"/>
              <w:jc w:val="right"/>
              <w:rPr/>
            </w:pPr>
            <w:r>
              <w:rPr/>
              <w:t>24,034</w:t>
            </w:r>
          </w:p>
        </w:tc>
        <w:tc>
          <w:tcPr>
            <w:tcW w:w="101"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368" w:type="dxa"/>
            <w:tcBorders/>
            <w:shd w:fill="CCEEFF" w:val="clear"/>
            <w:vAlign w:val="center"/>
          </w:tcPr>
          <w:p>
            <w:pPr>
              <w:pStyle w:val="TableContents"/>
              <w:bidi w:val="0"/>
              <w:spacing w:before="0" w:after="283"/>
              <w:jc w:val="left"/>
              <w:rPr/>
            </w:pPr>
            <w:r>
              <w:rPr/>
              <w:t>$</w:t>
            </w:r>
          </w:p>
        </w:tc>
        <w:tc>
          <w:tcPr>
            <w:tcW w:w="792" w:type="dxa"/>
            <w:tcBorders/>
            <w:shd w:fill="CCEEFF" w:val="clear"/>
            <w:vAlign w:val="center"/>
          </w:tcPr>
          <w:p>
            <w:pPr>
              <w:pStyle w:val="TableContents"/>
              <w:bidi w:val="0"/>
              <w:spacing w:before="0" w:after="283"/>
              <w:jc w:val="right"/>
              <w:rPr/>
            </w:pPr>
            <w:r>
              <w:rPr/>
              <w:t>(22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left"/>
              <w:rPr/>
            </w:pPr>
            <w:r>
              <w:rPr/>
              <w:t>$</w:t>
            </w:r>
          </w:p>
        </w:tc>
        <w:tc>
          <w:tcPr>
            <w:tcW w:w="463" w:type="dxa"/>
            <w:tcBorders/>
            <w:shd w:fill="CCEEFF" w:val="clear"/>
            <w:vAlign w:val="center"/>
          </w:tcPr>
          <w:p>
            <w:pPr>
              <w:pStyle w:val="TableContents"/>
              <w:bidi w:val="0"/>
              <w:spacing w:before="0" w:after="0"/>
              <w:jc w:val="right"/>
              <w:rPr/>
            </w:pPr>
            <w:r>
              <w:rPr/>
              <w:t>-</w:t>
            </w:r>
          </w:p>
        </w:tc>
        <w:tc>
          <w:tcPr>
            <w:tcW w:w="194"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664" w:type="dxa"/>
            <w:tcBorders/>
            <w:shd w:fill="CCEEFF" w:val="clear"/>
            <w:vAlign w:val="center"/>
          </w:tcPr>
          <w:p>
            <w:pPr>
              <w:pStyle w:val="TableContents"/>
              <w:bidi w:val="0"/>
              <w:spacing w:before="0" w:after="283"/>
              <w:jc w:val="left"/>
              <w:rPr/>
            </w:pPr>
            <w:r>
              <w:rPr/>
              <w:t>$</w:t>
            </w:r>
          </w:p>
        </w:tc>
        <w:tc>
          <w:tcPr>
            <w:tcW w:w="496"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883" w:type="dxa"/>
            <w:tcBorders/>
            <w:shd w:fill="CCEEFF" w:val="clear"/>
            <w:vAlign w:val="center"/>
          </w:tcPr>
          <w:p>
            <w:pPr>
              <w:pStyle w:val="TableContents"/>
              <w:bidi w:val="0"/>
              <w:spacing w:before="0" w:after="283"/>
              <w:jc w:val="right"/>
              <w:rPr/>
            </w:pPr>
            <w:r>
              <w:rPr/>
              <w:t>24,034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68" w:type="dxa"/>
            <w:tcBorders/>
            <w:shd w:fill="CCEEFF" w:val="clear"/>
            <w:vAlign w:val="center"/>
          </w:tcPr>
          <w:p>
            <w:pPr>
              <w:pStyle w:val="TableContents"/>
              <w:bidi w:val="0"/>
              <w:spacing w:before="0" w:after="283"/>
              <w:jc w:val="left"/>
              <w:rPr/>
            </w:pPr>
            <w:r>
              <w:rPr/>
              <w:t>$</w:t>
            </w:r>
          </w:p>
        </w:tc>
        <w:tc>
          <w:tcPr>
            <w:tcW w:w="792" w:type="dxa"/>
            <w:tcBorders/>
            <w:shd w:fill="CCEEFF" w:val="clear"/>
            <w:vAlign w:val="center"/>
          </w:tcPr>
          <w:p>
            <w:pPr>
              <w:pStyle w:val="TableContents"/>
              <w:bidi w:val="0"/>
              <w:spacing w:before="0" w:after="283"/>
              <w:jc w:val="right"/>
              <w:rPr/>
            </w:pPr>
            <w:r>
              <w:rPr/>
              <w:t>(22</w:t>
            </w:r>
          </w:p>
        </w:tc>
        <w:tc>
          <w:tcPr>
            <w:tcW w:w="177" w:type="dxa"/>
            <w:tcBorders/>
            <w:shd w:fill="CCEEFF" w:val="clear"/>
            <w:vAlign w:val="center"/>
          </w:tcPr>
          <w:p>
            <w:pPr>
              <w:pStyle w:val="TableContents"/>
              <w:bidi w:val="0"/>
              <w:spacing w:before="0" w:after="283"/>
              <w:ind w:left="0" w:right="0" w:hanging="180"/>
              <w:jc w:val="left"/>
              <w:rPr/>
            </w:pPr>
            <w:r>
              <w:rPr/>
              <w:t>)</w:t>
            </w:r>
          </w:p>
        </w:tc>
      </w:tr>
      <w:tr>
        <w:trPr/>
        <w:tc>
          <w:tcPr>
            <w:tcW w:w="1983" w:type="dxa"/>
            <w:tcBorders/>
            <w:vAlign w:val="center"/>
          </w:tcPr>
          <w:p>
            <w:pPr>
              <w:pStyle w:val="TableContents"/>
              <w:bidi w:val="0"/>
              <w:spacing w:before="0" w:after="283"/>
              <w:jc w:val="left"/>
              <w:rPr/>
            </w:pPr>
            <w:r>
              <w:rPr/>
              <w:t>Marketable debt securities, non-current:</w:t>
            </w:r>
          </w:p>
        </w:tc>
        <w:tc>
          <w:tcPr>
            <w:tcW w:w="9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885" w:type="dxa"/>
            <w:tcBorders/>
            <w:vAlign w:val="center"/>
          </w:tcPr>
          <w:p>
            <w:pPr>
              <w:pStyle w:val="TableContents"/>
              <w:bidi w:val="0"/>
              <w:spacing w:before="0" w:after="283"/>
              <w:jc w:val="right"/>
              <w:rPr/>
            </w:pPr>
            <w:r>
              <w:rPr/>
              <w:t> </w:t>
            </w:r>
          </w:p>
        </w:tc>
        <w:tc>
          <w:tcPr>
            <w:tcW w:w="101"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368" w:type="dxa"/>
            <w:tcBorders/>
            <w:vAlign w:val="center"/>
          </w:tcPr>
          <w:p>
            <w:pPr>
              <w:pStyle w:val="TableContents"/>
              <w:bidi w:val="0"/>
              <w:spacing w:before="0" w:after="283"/>
              <w:jc w:val="left"/>
              <w:rPr/>
            </w:pPr>
            <w:r>
              <w:rPr/>
              <w:t> </w:t>
            </w:r>
          </w:p>
        </w:tc>
        <w:tc>
          <w:tcPr>
            <w:tcW w:w="792"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left"/>
              <w:rPr/>
            </w:pPr>
            <w:r>
              <w:rPr/>
              <w:t> </w:t>
            </w:r>
          </w:p>
        </w:tc>
        <w:tc>
          <w:tcPr>
            <w:tcW w:w="463" w:type="dxa"/>
            <w:tcBorders/>
            <w:vAlign w:val="center"/>
          </w:tcPr>
          <w:p>
            <w:pPr>
              <w:pStyle w:val="TableContents"/>
              <w:bidi w:val="0"/>
              <w:spacing w:before="0" w:after="283"/>
              <w:jc w:val="right"/>
              <w:rPr/>
            </w:pPr>
            <w:r>
              <w:rPr/>
              <w:t> </w:t>
            </w:r>
          </w:p>
        </w:tc>
        <w:tc>
          <w:tcPr>
            <w:tcW w:w="194"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664" w:type="dxa"/>
            <w:tcBorders/>
            <w:vAlign w:val="center"/>
          </w:tcPr>
          <w:p>
            <w:pPr>
              <w:pStyle w:val="TableContents"/>
              <w:bidi w:val="0"/>
              <w:spacing w:before="0" w:after="283"/>
              <w:jc w:val="left"/>
              <w:rPr/>
            </w:pPr>
            <w:r>
              <w:rPr/>
              <w:t> </w:t>
            </w:r>
          </w:p>
        </w:tc>
        <w:tc>
          <w:tcPr>
            <w:tcW w:w="496"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883"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68" w:type="dxa"/>
            <w:tcBorders/>
            <w:vAlign w:val="center"/>
          </w:tcPr>
          <w:p>
            <w:pPr>
              <w:pStyle w:val="TableContents"/>
              <w:bidi w:val="0"/>
              <w:spacing w:before="0" w:after="283"/>
              <w:jc w:val="left"/>
              <w:rPr/>
            </w:pPr>
            <w:r>
              <w:rPr/>
              <w:t> </w:t>
            </w:r>
          </w:p>
        </w:tc>
        <w:tc>
          <w:tcPr>
            <w:tcW w:w="792" w:type="dxa"/>
            <w:tcBorders/>
            <w:vAlign w:val="center"/>
          </w:tcPr>
          <w:p>
            <w:pPr>
              <w:pStyle w:val="TableContents"/>
              <w:bidi w:val="0"/>
              <w:spacing w:before="0" w:after="283"/>
              <w:jc w:val="right"/>
              <w:rPr/>
            </w:pPr>
            <w:r>
              <w:rPr/>
              <w:t> </w:t>
            </w:r>
          </w:p>
        </w:tc>
        <w:tc>
          <w:tcPr>
            <w:tcW w:w="177" w:type="dxa"/>
            <w:tcBorders/>
            <w:vAlign w:val="center"/>
          </w:tcPr>
          <w:p>
            <w:pPr>
              <w:pStyle w:val="TableContents"/>
              <w:bidi w:val="0"/>
              <w:spacing w:before="0" w:after="283"/>
              <w:ind w:left="0" w:right="0" w:hanging="180"/>
              <w:jc w:val="left"/>
              <w:rPr/>
            </w:pPr>
            <w:r>
              <w:rPr/>
              <w:t> </w:t>
            </w:r>
          </w:p>
        </w:tc>
      </w:tr>
      <w:tr>
        <w:trPr/>
        <w:tc>
          <w:tcPr>
            <w:tcW w:w="1983" w:type="dxa"/>
            <w:tcBorders/>
            <w:shd w:fill="CCEEFF" w:val="clear"/>
            <w:vAlign w:val="center"/>
          </w:tcPr>
          <w:p>
            <w:pPr>
              <w:pStyle w:val="TableContents"/>
              <w:bidi w:val="0"/>
              <w:spacing w:before="0" w:after="283"/>
              <w:jc w:val="left"/>
              <w:rPr/>
            </w:pPr>
            <w:r>
              <w:rPr/>
              <w:t>Corporate bonds</w:t>
            </w:r>
          </w:p>
        </w:tc>
        <w:tc>
          <w:tcPr>
            <w:tcW w:w="90" w:type="dxa"/>
            <w:tcBorders/>
            <w:shd w:fill="CCEEFF" w:val="clear"/>
            <w:vAlign w:val="center"/>
          </w:tcPr>
          <w:p>
            <w:pPr>
              <w:pStyle w:val="TableContents"/>
              <w:bidi w:val="0"/>
              <w:spacing w:before="0" w:after="283"/>
              <w:jc w:val="left"/>
              <w:rPr/>
            </w:pPr>
            <w:r>
              <w:rPr/>
              <w:t> </w:t>
            </w:r>
          </w:p>
        </w:tc>
        <w:tc>
          <w:tcPr>
            <w:tcW w:w="2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5" w:type="dxa"/>
            <w:tcBorders>
              <w:bottom w:val="single" w:sz="12" w:space="0" w:color="000000"/>
            </w:tcBorders>
            <w:shd w:fill="CCEEFF" w:val="clear"/>
            <w:tcMar>
              <w:bottom w:w="28" w:type="dxa"/>
            </w:tcMar>
            <w:vAlign w:val="center"/>
          </w:tcPr>
          <w:p>
            <w:pPr>
              <w:pStyle w:val="TableContents"/>
              <w:bidi w:val="0"/>
              <w:spacing w:before="0" w:after="283"/>
              <w:jc w:val="right"/>
              <w:rPr/>
            </w:pPr>
            <w:r>
              <w:rPr/>
              <w:t>29,824</w:t>
            </w:r>
          </w:p>
        </w:tc>
        <w:tc>
          <w:tcPr>
            <w:tcW w:w="101"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36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92" w:type="dxa"/>
            <w:tcBorders>
              <w:bottom w:val="single" w:sz="12" w:space="0" w:color="000000"/>
            </w:tcBorders>
            <w:shd w:fill="CCEEFF" w:val="clear"/>
            <w:tcMar>
              <w:bottom w:w="28" w:type="dxa"/>
            </w:tcMar>
            <w:vAlign w:val="center"/>
          </w:tcPr>
          <w:p>
            <w:pPr>
              <w:pStyle w:val="TableContents"/>
              <w:bidi w:val="0"/>
              <w:spacing w:before="0" w:after="283"/>
              <w:jc w:val="right"/>
              <w:rPr/>
            </w:pPr>
            <w:r>
              <w:rPr/>
              <w:t>(34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62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63"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94"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66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96"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3" w:type="dxa"/>
            <w:tcBorders>
              <w:bottom w:val="single" w:sz="12" w:space="0" w:color="000000"/>
            </w:tcBorders>
            <w:shd w:fill="CCEEFF" w:val="clear"/>
            <w:tcMar>
              <w:bottom w:w="28" w:type="dxa"/>
            </w:tcMar>
            <w:vAlign w:val="center"/>
          </w:tcPr>
          <w:p>
            <w:pPr>
              <w:pStyle w:val="TableContents"/>
              <w:bidi w:val="0"/>
              <w:spacing w:before="0" w:after="283"/>
              <w:jc w:val="right"/>
              <w:rPr/>
            </w:pPr>
            <w:r>
              <w:rPr/>
              <w:t>29,824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6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92" w:type="dxa"/>
            <w:tcBorders>
              <w:bottom w:val="single" w:sz="12" w:space="0" w:color="000000"/>
            </w:tcBorders>
            <w:shd w:fill="CCEEFF" w:val="clear"/>
            <w:tcMar>
              <w:bottom w:w="28" w:type="dxa"/>
            </w:tcMar>
            <w:vAlign w:val="center"/>
          </w:tcPr>
          <w:p>
            <w:pPr>
              <w:pStyle w:val="TableContents"/>
              <w:bidi w:val="0"/>
              <w:spacing w:before="0" w:after="283"/>
              <w:jc w:val="right"/>
              <w:rPr/>
            </w:pPr>
            <w:r>
              <w:rPr/>
              <w:t>(34</w:t>
            </w:r>
          </w:p>
        </w:tc>
        <w:tc>
          <w:tcPr>
            <w:tcW w:w="177" w:type="dxa"/>
            <w:tcBorders/>
            <w:shd w:fill="CCEEFF" w:val="clear"/>
            <w:vAlign w:val="center"/>
          </w:tcPr>
          <w:p>
            <w:pPr>
              <w:pStyle w:val="TableContents"/>
              <w:bidi w:val="0"/>
              <w:spacing w:before="0" w:after="283"/>
              <w:ind w:left="0" w:right="0" w:hanging="180"/>
              <w:jc w:val="left"/>
              <w:rPr/>
            </w:pPr>
            <w:r>
              <w:rPr/>
              <w:t>)</w:t>
            </w:r>
          </w:p>
        </w:tc>
      </w:tr>
      <w:tr>
        <w:trPr/>
        <w:tc>
          <w:tcPr>
            <w:tcW w:w="1983" w:type="dxa"/>
            <w:tcBorders/>
            <w:vAlign w:val="center"/>
          </w:tcPr>
          <w:p>
            <w:pPr>
              <w:pStyle w:val="TableContents"/>
              <w:bidi w:val="0"/>
              <w:spacing w:before="0" w:after="283"/>
              <w:jc w:val="left"/>
              <w:rPr/>
            </w:pPr>
            <w:r>
              <w:rPr/>
              <w:t>Total</w:t>
            </w:r>
          </w:p>
        </w:tc>
        <w:tc>
          <w:tcPr>
            <w:tcW w:w="90" w:type="dxa"/>
            <w:tcBorders/>
            <w:vAlign w:val="center"/>
          </w:tcPr>
          <w:p>
            <w:pPr>
              <w:pStyle w:val="TableContents"/>
              <w:bidi w:val="0"/>
              <w:spacing w:before="0" w:after="283"/>
              <w:jc w:val="left"/>
              <w:rPr/>
            </w:pPr>
            <w:r>
              <w:rPr/>
              <w:t> </w:t>
            </w:r>
          </w:p>
        </w:tc>
        <w:tc>
          <w:tcPr>
            <w:tcW w:w="240" w:type="dxa"/>
            <w:tcBorders>
              <w:bottom w:val="double" w:sz="10" w:space="0" w:color="000000"/>
            </w:tcBorders>
            <w:tcMar>
              <w:bottom w:w="28" w:type="dxa"/>
            </w:tcMar>
            <w:vAlign w:val="center"/>
          </w:tcPr>
          <w:p>
            <w:pPr>
              <w:pStyle w:val="TableContents"/>
              <w:bidi w:val="0"/>
              <w:spacing w:before="0" w:after="283"/>
              <w:jc w:val="left"/>
              <w:rPr/>
            </w:pPr>
            <w:r>
              <w:rPr/>
              <w:t>$</w:t>
            </w:r>
          </w:p>
        </w:tc>
        <w:tc>
          <w:tcPr>
            <w:tcW w:w="885" w:type="dxa"/>
            <w:tcBorders>
              <w:bottom w:val="double" w:sz="10" w:space="0" w:color="000000"/>
            </w:tcBorders>
            <w:tcMar>
              <w:bottom w:w="28" w:type="dxa"/>
            </w:tcMar>
            <w:vAlign w:val="center"/>
          </w:tcPr>
          <w:p>
            <w:pPr>
              <w:pStyle w:val="TableContents"/>
              <w:bidi w:val="0"/>
              <w:spacing w:before="0" w:after="283"/>
              <w:jc w:val="right"/>
              <w:rPr/>
            </w:pPr>
            <w:r>
              <w:rPr/>
              <w:t>53,858</w:t>
            </w:r>
          </w:p>
        </w:tc>
        <w:tc>
          <w:tcPr>
            <w:tcW w:w="101"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368" w:type="dxa"/>
            <w:tcBorders>
              <w:bottom w:val="double" w:sz="10" w:space="0" w:color="000000"/>
            </w:tcBorders>
            <w:tcMar>
              <w:bottom w:w="28" w:type="dxa"/>
            </w:tcMar>
            <w:vAlign w:val="center"/>
          </w:tcPr>
          <w:p>
            <w:pPr>
              <w:pStyle w:val="TableContents"/>
              <w:bidi w:val="0"/>
              <w:spacing w:before="0" w:after="283"/>
              <w:jc w:val="left"/>
              <w:rPr/>
            </w:pPr>
            <w:r>
              <w:rPr/>
              <w:t>$</w:t>
            </w:r>
          </w:p>
        </w:tc>
        <w:tc>
          <w:tcPr>
            <w:tcW w:w="792" w:type="dxa"/>
            <w:tcBorders>
              <w:bottom w:val="double" w:sz="10" w:space="0" w:color="000000"/>
            </w:tcBorders>
            <w:tcMar>
              <w:bottom w:w="28" w:type="dxa"/>
            </w:tcMar>
            <w:vAlign w:val="center"/>
          </w:tcPr>
          <w:p>
            <w:pPr>
              <w:pStyle w:val="TableContents"/>
              <w:bidi w:val="0"/>
              <w:spacing w:before="0" w:after="283"/>
              <w:jc w:val="right"/>
              <w:rPr/>
            </w:pPr>
            <w:r>
              <w:rPr/>
              <w:t>(56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629" w:type="dxa"/>
            <w:tcBorders>
              <w:bottom w:val="double" w:sz="10" w:space="0" w:color="000000"/>
            </w:tcBorders>
            <w:tcMar>
              <w:bottom w:w="28" w:type="dxa"/>
            </w:tcMar>
            <w:vAlign w:val="center"/>
          </w:tcPr>
          <w:p>
            <w:pPr>
              <w:pStyle w:val="TableContents"/>
              <w:bidi w:val="0"/>
              <w:spacing w:before="0" w:after="283"/>
              <w:jc w:val="left"/>
              <w:rPr/>
            </w:pPr>
            <w:r>
              <w:rPr/>
              <w:t>$</w:t>
            </w:r>
          </w:p>
        </w:tc>
        <w:tc>
          <w:tcPr>
            <w:tcW w:w="463" w:type="dxa"/>
            <w:tcBorders>
              <w:bottom w:val="double" w:sz="10" w:space="0" w:color="000000"/>
            </w:tcBorders>
            <w:tcMar>
              <w:bottom w:w="28" w:type="dxa"/>
            </w:tcMar>
            <w:vAlign w:val="center"/>
          </w:tcPr>
          <w:p>
            <w:pPr>
              <w:pStyle w:val="TableContents"/>
              <w:bidi w:val="0"/>
              <w:spacing w:before="0" w:after="0"/>
              <w:jc w:val="right"/>
              <w:rPr/>
            </w:pPr>
            <w:r>
              <w:rPr/>
              <w:t>-</w:t>
            </w:r>
          </w:p>
        </w:tc>
        <w:tc>
          <w:tcPr>
            <w:tcW w:w="194"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664" w:type="dxa"/>
            <w:tcBorders>
              <w:bottom w:val="double" w:sz="10" w:space="0" w:color="000000"/>
            </w:tcBorders>
            <w:tcMar>
              <w:bottom w:w="28" w:type="dxa"/>
            </w:tcMar>
            <w:vAlign w:val="center"/>
          </w:tcPr>
          <w:p>
            <w:pPr>
              <w:pStyle w:val="TableContents"/>
              <w:bidi w:val="0"/>
              <w:spacing w:before="0" w:after="283"/>
              <w:jc w:val="left"/>
              <w:rPr/>
            </w:pPr>
            <w:r>
              <w:rPr/>
              <w:t>$</w:t>
            </w:r>
          </w:p>
        </w:tc>
        <w:tc>
          <w:tcPr>
            <w:tcW w:w="496" w:type="dxa"/>
            <w:tcBorders>
              <w:bottom w:val="double" w:sz="10"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0" w:type="dxa"/>
            <w:tcBorders>
              <w:bottom w:val="double" w:sz="10" w:space="0" w:color="000000"/>
            </w:tcBorders>
            <w:tcMar>
              <w:bottom w:w="28" w:type="dxa"/>
            </w:tcMar>
            <w:vAlign w:val="center"/>
          </w:tcPr>
          <w:p>
            <w:pPr>
              <w:pStyle w:val="TableContents"/>
              <w:bidi w:val="0"/>
              <w:spacing w:before="0" w:after="283"/>
              <w:jc w:val="left"/>
              <w:rPr/>
            </w:pPr>
            <w:r>
              <w:rPr/>
              <w:t>$</w:t>
            </w:r>
          </w:p>
        </w:tc>
        <w:tc>
          <w:tcPr>
            <w:tcW w:w="883" w:type="dxa"/>
            <w:tcBorders>
              <w:bottom w:val="double" w:sz="10" w:space="0" w:color="000000"/>
            </w:tcBorders>
            <w:tcMar>
              <w:bottom w:w="28" w:type="dxa"/>
            </w:tcMar>
            <w:vAlign w:val="center"/>
          </w:tcPr>
          <w:p>
            <w:pPr>
              <w:pStyle w:val="TableContents"/>
              <w:bidi w:val="0"/>
              <w:spacing w:before="0" w:after="283"/>
              <w:jc w:val="right"/>
              <w:rPr/>
            </w:pPr>
            <w:r>
              <w:rPr/>
              <w:t>53,858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68" w:type="dxa"/>
            <w:tcBorders>
              <w:bottom w:val="double" w:sz="10" w:space="0" w:color="000000"/>
            </w:tcBorders>
            <w:tcMar>
              <w:bottom w:w="28" w:type="dxa"/>
            </w:tcMar>
            <w:vAlign w:val="center"/>
          </w:tcPr>
          <w:p>
            <w:pPr>
              <w:pStyle w:val="TableContents"/>
              <w:bidi w:val="0"/>
              <w:spacing w:before="0" w:after="283"/>
              <w:jc w:val="left"/>
              <w:rPr/>
            </w:pPr>
            <w:r>
              <w:rPr/>
              <w:t>$</w:t>
            </w:r>
          </w:p>
        </w:tc>
        <w:tc>
          <w:tcPr>
            <w:tcW w:w="792" w:type="dxa"/>
            <w:tcBorders>
              <w:bottom w:val="double" w:sz="10" w:space="0" w:color="000000"/>
            </w:tcBorders>
            <w:tcMar>
              <w:bottom w:w="28" w:type="dxa"/>
            </w:tcMar>
            <w:vAlign w:val="center"/>
          </w:tcPr>
          <w:p>
            <w:pPr>
              <w:pStyle w:val="TableContents"/>
              <w:bidi w:val="0"/>
              <w:spacing w:before="0" w:after="283"/>
              <w:jc w:val="right"/>
              <w:rPr/>
            </w:pPr>
            <w:r>
              <w:rPr/>
              <w:t>(56</w:t>
            </w:r>
          </w:p>
        </w:tc>
        <w:tc>
          <w:tcPr>
            <w:tcW w:w="177"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December 31, 2025, it was determined that there were no expected credit losses.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 and Investment Income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and investment income (expense) consist of the following:</w:t>
      </w:r>
    </w:p>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410"/>
        <w:gridCol w:w="90"/>
        <w:gridCol w:w="284"/>
        <w:gridCol w:w="986"/>
        <w:gridCol w:w="149"/>
        <w:gridCol w:w="149"/>
        <w:gridCol w:w="284"/>
        <w:gridCol w:w="986"/>
        <w:gridCol w:w="90"/>
        <w:gridCol w:w="90"/>
        <w:gridCol w:w="255"/>
        <w:gridCol w:w="884"/>
        <w:gridCol w:w="134"/>
        <w:gridCol w:w="134"/>
        <w:gridCol w:w="255"/>
        <w:gridCol w:w="884"/>
        <w:gridCol w:w="141"/>
      </w:tblGrid>
      <w:tr>
        <w:trPr/>
        <w:tc>
          <w:tcPr>
            <w:tcW w:w="441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83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Three Months Ended </w:t>
              <w:br/>
              <w:t>June 30,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4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Six Months Ended</w:t>
              <w:br/>
              <w:t>June 30,</w:t>
            </w:r>
          </w:p>
        </w:tc>
        <w:tc>
          <w:tcPr>
            <w:tcW w:w="141" w:type="dxa"/>
            <w:tcBorders/>
            <w:vAlign w:val="center"/>
          </w:tcPr>
          <w:p>
            <w:pPr>
              <w:pStyle w:val="TableContents"/>
              <w:bidi w:val="0"/>
              <w:spacing w:before="0" w:after="283"/>
              <w:jc w:val="left"/>
              <w:rPr/>
            </w:pPr>
            <w:r>
              <w:rPr/>
              <w:t> </w:t>
            </w:r>
          </w:p>
        </w:tc>
      </w:tr>
      <w:tr>
        <w:trPr/>
        <w:tc>
          <w:tcPr>
            <w:tcW w:w="44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49"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12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34"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113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41" w:type="dxa"/>
            <w:tcBorders/>
            <w:vAlign w:val="center"/>
          </w:tcPr>
          <w:p>
            <w:pPr>
              <w:pStyle w:val="TableContents"/>
              <w:bidi w:val="0"/>
              <w:spacing w:before="0" w:after="283"/>
              <w:jc w:val="left"/>
              <w:rPr/>
            </w:pPr>
            <w:r>
              <w:rPr/>
              <w:t> </w:t>
            </w:r>
          </w:p>
        </w:tc>
      </w:tr>
      <w:tr>
        <w:trPr/>
        <w:tc>
          <w:tcPr>
            <w:tcW w:w="4410" w:type="dxa"/>
            <w:tcBorders/>
            <w:shd w:fill="CCEEFF" w:val="clear"/>
            <w:vAlign w:val="center"/>
          </w:tcPr>
          <w:p>
            <w:pPr>
              <w:pStyle w:val="TableContents"/>
              <w:bidi w:val="0"/>
              <w:spacing w:before="0" w:after="283"/>
              <w:jc w:val="left"/>
              <w:rPr/>
            </w:pPr>
            <w:r>
              <w:rPr/>
              <w:t>Interest income</w:t>
            </w:r>
          </w:p>
        </w:tc>
        <w:tc>
          <w:tcPr>
            <w:tcW w:w="9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w:t>
            </w:r>
          </w:p>
        </w:tc>
        <w:tc>
          <w:tcPr>
            <w:tcW w:w="986" w:type="dxa"/>
            <w:tcBorders/>
            <w:shd w:fill="CCEEFF" w:val="clear"/>
            <w:vAlign w:val="center"/>
          </w:tcPr>
          <w:p>
            <w:pPr>
              <w:pStyle w:val="TableContents"/>
              <w:bidi w:val="0"/>
              <w:spacing w:before="0" w:after="283"/>
              <w:jc w:val="right"/>
              <w:rPr/>
            </w:pPr>
            <w:r>
              <w:rPr/>
              <w:t>1,480</w:t>
            </w:r>
          </w:p>
        </w:tc>
        <w:tc>
          <w:tcPr>
            <w:tcW w:w="149"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w:t>
            </w:r>
          </w:p>
        </w:tc>
        <w:tc>
          <w:tcPr>
            <w:tcW w:w="986" w:type="dxa"/>
            <w:tcBorders/>
            <w:shd w:fill="CCEEFF" w:val="clear"/>
            <w:vAlign w:val="center"/>
          </w:tcPr>
          <w:p>
            <w:pPr>
              <w:pStyle w:val="TableContents"/>
              <w:bidi w:val="0"/>
              <w:spacing w:before="0" w:after="283"/>
              <w:jc w:val="right"/>
              <w:rPr/>
            </w:pPr>
            <w:r>
              <w:rPr/>
              <w:t>1,223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w:t>
            </w:r>
          </w:p>
        </w:tc>
        <w:tc>
          <w:tcPr>
            <w:tcW w:w="884" w:type="dxa"/>
            <w:tcBorders/>
            <w:shd w:fill="CCEEFF" w:val="clear"/>
            <w:vAlign w:val="center"/>
          </w:tcPr>
          <w:p>
            <w:pPr>
              <w:pStyle w:val="TableContents"/>
              <w:bidi w:val="0"/>
              <w:spacing w:before="0" w:after="283"/>
              <w:jc w:val="right"/>
              <w:rPr/>
            </w:pPr>
            <w:r>
              <w:rPr/>
              <w:t>3,136</w:t>
            </w:r>
          </w:p>
        </w:tc>
        <w:tc>
          <w:tcPr>
            <w:tcW w:w="134"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w:t>
            </w:r>
          </w:p>
        </w:tc>
        <w:tc>
          <w:tcPr>
            <w:tcW w:w="884" w:type="dxa"/>
            <w:tcBorders/>
            <w:shd w:fill="CCEEFF" w:val="clear"/>
            <w:vAlign w:val="center"/>
          </w:tcPr>
          <w:p>
            <w:pPr>
              <w:pStyle w:val="TableContents"/>
              <w:bidi w:val="0"/>
              <w:spacing w:before="0" w:after="283"/>
              <w:jc w:val="right"/>
              <w:rPr/>
            </w:pPr>
            <w:r>
              <w:rPr/>
              <w:t>2,778</w:t>
            </w:r>
          </w:p>
        </w:tc>
        <w:tc>
          <w:tcPr>
            <w:tcW w:w="141" w:type="dxa"/>
            <w:tcBorders/>
            <w:shd w:fill="CCEEFF" w:val="clear"/>
            <w:vAlign w:val="center"/>
          </w:tcPr>
          <w:p>
            <w:pPr>
              <w:pStyle w:val="TableContents"/>
              <w:bidi w:val="0"/>
              <w:spacing w:before="0" w:after="283"/>
              <w:jc w:val="left"/>
              <w:rPr/>
            </w:pPr>
            <w:r>
              <w:rPr/>
              <w:t> </w:t>
            </w:r>
          </w:p>
        </w:tc>
      </w:tr>
      <w:tr>
        <w:trPr/>
        <w:tc>
          <w:tcPr>
            <w:tcW w:w="4410" w:type="dxa"/>
            <w:tcBorders/>
            <w:vAlign w:val="center"/>
          </w:tcPr>
          <w:p>
            <w:pPr>
              <w:pStyle w:val="TableContents"/>
              <w:bidi w:val="0"/>
              <w:spacing w:before="0" w:after="283"/>
              <w:jc w:val="left"/>
              <w:rPr/>
            </w:pPr>
            <w:r>
              <w:rPr/>
              <w:t>Accretion of discount (Amortization of premium), net</w:t>
            </w:r>
          </w:p>
        </w:tc>
        <w:tc>
          <w:tcPr>
            <w:tcW w:w="90"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left"/>
              <w:rPr/>
            </w:pPr>
            <w:r>
              <w:rPr/>
              <w:t> </w:t>
            </w:r>
          </w:p>
        </w:tc>
        <w:tc>
          <w:tcPr>
            <w:tcW w:w="986" w:type="dxa"/>
            <w:tcBorders/>
            <w:vAlign w:val="center"/>
          </w:tcPr>
          <w:p>
            <w:pPr>
              <w:pStyle w:val="TableContents"/>
              <w:bidi w:val="0"/>
              <w:spacing w:before="0" w:after="283"/>
              <w:jc w:val="right"/>
              <w:rPr/>
            </w:pPr>
            <w:r>
              <w:rPr/>
              <w:t>170</w:t>
            </w:r>
          </w:p>
        </w:tc>
        <w:tc>
          <w:tcPr>
            <w:tcW w:w="149"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left"/>
              <w:rPr/>
            </w:pPr>
            <w:r>
              <w:rPr/>
              <w:t> </w:t>
            </w:r>
          </w:p>
        </w:tc>
        <w:tc>
          <w:tcPr>
            <w:tcW w:w="986" w:type="dxa"/>
            <w:tcBorders/>
            <w:vAlign w:val="center"/>
          </w:tcPr>
          <w:p>
            <w:pPr>
              <w:pStyle w:val="TableContents"/>
              <w:bidi w:val="0"/>
              <w:spacing w:before="0" w:after="283"/>
              <w:jc w:val="right"/>
              <w:rPr/>
            </w:pPr>
            <w:r>
              <w:rPr/>
              <w:t>389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884" w:type="dxa"/>
            <w:tcBorders/>
            <w:vAlign w:val="center"/>
          </w:tcPr>
          <w:p>
            <w:pPr>
              <w:pStyle w:val="TableContents"/>
              <w:bidi w:val="0"/>
              <w:spacing w:before="0" w:after="283"/>
              <w:jc w:val="right"/>
              <w:rPr/>
            </w:pPr>
            <w:r>
              <w:rPr/>
              <w:t>353</w:t>
            </w:r>
          </w:p>
        </w:tc>
        <w:tc>
          <w:tcPr>
            <w:tcW w:w="134"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884" w:type="dxa"/>
            <w:tcBorders/>
            <w:vAlign w:val="center"/>
          </w:tcPr>
          <w:p>
            <w:pPr>
              <w:pStyle w:val="TableContents"/>
              <w:bidi w:val="0"/>
              <w:spacing w:before="0" w:after="283"/>
              <w:jc w:val="right"/>
              <w:rPr/>
            </w:pPr>
            <w:r>
              <w:rPr/>
              <w:t>555</w:t>
            </w:r>
          </w:p>
        </w:tc>
        <w:tc>
          <w:tcPr>
            <w:tcW w:w="141" w:type="dxa"/>
            <w:tcBorders/>
            <w:vAlign w:val="center"/>
          </w:tcPr>
          <w:p>
            <w:pPr>
              <w:pStyle w:val="TableContents"/>
              <w:bidi w:val="0"/>
              <w:spacing w:before="0" w:after="283"/>
              <w:jc w:val="left"/>
              <w:rPr/>
            </w:pPr>
            <w:r>
              <w:rPr/>
              <w:t> </w:t>
            </w:r>
          </w:p>
        </w:tc>
      </w:tr>
      <w:tr>
        <w:trPr/>
        <w:tc>
          <w:tcPr>
            <w:tcW w:w="4410" w:type="dxa"/>
            <w:tcBorders/>
            <w:shd w:fill="CCEEFF" w:val="clear"/>
            <w:vAlign w:val="center"/>
          </w:tcPr>
          <w:p>
            <w:pPr>
              <w:pStyle w:val="TableContents"/>
              <w:bidi w:val="0"/>
              <w:spacing w:before="0" w:after="283"/>
              <w:jc w:val="left"/>
              <w:rPr/>
            </w:pPr>
            <w:r>
              <w:rPr/>
              <w:t>Dividend income</w:t>
            </w:r>
          </w:p>
        </w:tc>
        <w:tc>
          <w:tcPr>
            <w:tcW w:w="90" w:type="dxa"/>
            <w:tcBorders/>
            <w:shd w:fill="CCEEFF" w:val="clear"/>
            <w:vAlign w:val="center"/>
          </w:tcPr>
          <w:p>
            <w:pPr>
              <w:pStyle w:val="TableContents"/>
              <w:bidi w:val="0"/>
              <w:spacing w:before="0" w:after="283"/>
              <w:jc w:val="left"/>
              <w:rPr/>
            </w:pPr>
            <w:r>
              <w:rPr/>
              <w:t> </w:t>
            </w:r>
          </w:p>
        </w:tc>
        <w:tc>
          <w:tcPr>
            <w:tcW w:w="2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6" w:type="dxa"/>
            <w:tcBorders>
              <w:bottom w:val="single" w:sz="12" w:space="0" w:color="000000"/>
            </w:tcBorders>
            <w:shd w:fill="CCEEFF" w:val="clear"/>
            <w:tcMar>
              <w:bottom w:w="28" w:type="dxa"/>
            </w:tcMar>
            <w:vAlign w:val="center"/>
          </w:tcPr>
          <w:p>
            <w:pPr>
              <w:pStyle w:val="TableContents"/>
              <w:bidi w:val="0"/>
              <w:spacing w:before="0" w:after="283"/>
              <w:jc w:val="right"/>
              <w:rPr/>
            </w:pPr>
            <w:r>
              <w:rPr/>
              <w:t>6</w:t>
            </w:r>
          </w:p>
        </w:tc>
        <w:tc>
          <w:tcPr>
            <w:tcW w:w="149"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2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6" w:type="dxa"/>
            <w:tcBorders>
              <w:bottom w:val="single" w:sz="12" w:space="0" w:color="000000"/>
            </w:tcBorders>
            <w:shd w:fill="CCEEFF" w:val="clear"/>
            <w:tcMar>
              <w:bottom w:w="28" w:type="dxa"/>
            </w:tcMar>
            <w:vAlign w:val="center"/>
          </w:tcPr>
          <w:p>
            <w:pPr>
              <w:pStyle w:val="TableContents"/>
              <w:bidi w:val="0"/>
              <w:spacing w:before="0" w:after="283"/>
              <w:jc w:val="right"/>
              <w:rPr/>
            </w:pPr>
            <w:r>
              <w:rPr/>
              <w:t>14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4" w:type="dxa"/>
            <w:tcBorders>
              <w:bottom w:val="single" w:sz="12" w:space="0" w:color="000000"/>
            </w:tcBorders>
            <w:shd w:fill="CCEEFF" w:val="clear"/>
            <w:tcMar>
              <w:bottom w:w="28" w:type="dxa"/>
            </w:tcMar>
            <w:vAlign w:val="center"/>
          </w:tcPr>
          <w:p>
            <w:pPr>
              <w:pStyle w:val="TableContents"/>
              <w:bidi w:val="0"/>
              <w:spacing w:before="0" w:after="283"/>
              <w:jc w:val="right"/>
              <w:rPr/>
            </w:pPr>
            <w:r>
              <w:rPr/>
              <w:t>14</w:t>
            </w:r>
          </w:p>
        </w:tc>
        <w:tc>
          <w:tcPr>
            <w:tcW w:w="134"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2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4" w:type="dxa"/>
            <w:tcBorders>
              <w:bottom w:val="single" w:sz="12" w:space="0" w:color="000000"/>
            </w:tcBorders>
            <w:shd w:fill="CCEEFF" w:val="clear"/>
            <w:tcMar>
              <w:bottom w:w="28" w:type="dxa"/>
            </w:tcMar>
            <w:vAlign w:val="center"/>
          </w:tcPr>
          <w:p>
            <w:pPr>
              <w:pStyle w:val="TableContents"/>
              <w:bidi w:val="0"/>
              <w:spacing w:before="0" w:after="283"/>
              <w:jc w:val="right"/>
              <w:rPr/>
            </w:pPr>
            <w:r>
              <w:rPr/>
              <w:t>22</w:t>
            </w:r>
          </w:p>
        </w:tc>
        <w:tc>
          <w:tcPr>
            <w:tcW w:w="141" w:type="dxa"/>
            <w:tcBorders/>
            <w:shd w:fill="CCEEFF" w:val="clear"/>
            <w:vAlign w:val="center"/>
          </w:tcPr>
          <w:p>
            <w:pPr>
              <w:pStyle w:val="TableContents"/>
              <w:bidi w:val="0"/>
              <w:spacing w:before="0" w:after="283"/>
              <w:jc w:val="left"/>
              <w:rPr/>
            </w:pPr>
            <w:r>
              <w:rPr/>
              <w:t> </w:t>
            </w:r>
          </w:p>
        </w:tc>
      </w:tr>
      <w:tr>
        <w:trPr/>
        <w:tc>
          <w:tcPr>
            <w:tcW w:w="4410" w:type="dxa"/>
            <w:tcBorders/>
            <w:vAlign w:val="center"/>
          </w:tcPr>
          <w:p>
            <w:pPr>
              <w:pStyle w:val="TableContents"/>
              <w:bidi w:val="0"/>
              <w:spacing w:before="0" w:after="283"/>
              <w:jc w:val="left"/>
              <w:rPr/>
            </w:pPr>
            <w:r>
              <w:rPr/>
              <w:t xml:space="preserve">Total </w:t>
            </w:r>
          </w:p>
        </w:tc>
        <w:tc>
          <w:tcPr>
            <w:tcW w:w="90" w:type="dxa"/>
            <w:tcBorders/>
            <w:vAlign w:val="center"/>
          </w:tcPr>
          <w:p>
            <w:pPr>
              <w:pStyle w:val="TableContents"/>
              <w:bidi w:val="0"/>
              <w:spacing w:before="0" w:after="283"/>
              <w:jc w:val="left"/>
              <w:rPr/>
            </w:pPr>
            <w:r>
              <w:rPr/>
              <w:t> </w:t>
            </w:r>
          </w:p>
        </w:tc>
        <w:tc>
          <w:tcPr>
            <w:tcW w:w="284" w:type="dxa"/>
            <w:tcBorders>
              <w:bottom w:val="double" w:sz="10" w:space="0" w:color="000000"/>
            </w:tcBorders>
            <w:tcMar>
              <w:bottom w:w="28" w:type="dxa"/>
            </w:tcMar>
            <w:vAlign w:val="center"/>
          </w:tcPr>
          <w:p>
            <w:pPr>
              <w:pStyle w:val="TableContents"/>
              <w:bidi w:val="0"/>
              <w:spacing w:before="0" w:after="283"/>
              <w:jc w:val="left"/>
              <w:rPr/>
            </w:pPr>
            <w:r>
              <w:rPr/>
              <w:t>$</w:t>
            </w:r>
          </w:p>
        </w:tc>
        <w:tc>
          <w:tcPr>
            <w:tcW w:w="986" w:type="dxa"/>
            <w:tcBorders>
              <w:bottom w:val="double" w:sz="10" w:space="0" w:color="000000"/>
            </w:tcBorders>
            <w:tcMar>
              <w:bottom w:w="28" w:type="dxa"/>
            </w:tcMar>
            <w:vAlign w:val="center"/>
          </w:tcPr>
          <w:p>
            <w:pPr>
              <w:pStyle w:val="TableContents"/>
              <w:bidi w:val="0"/>
              <w:spacing w:before="0" w:after="283"/>
              <w:jc w:val="right"/>
              <w:rPr/>
            </w:pPr>
            <w:r>
              <w:rPr/>
              <w:t>1,656</w:t>
            </w:r>
          </w:p>
        </w:tc>
        <w:tc>
          <w:tcPr>
            <w:tcW w:w="149"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284" w:type="dxa"/>
            <w:tcBorders>
              <w:bottom w:val="double" w:sz="10" w:space="0" w:color="000000"/>
            </w:tcBorders>
            <w:tcMar>
              <w:bottom w:w="28" w:type="dxa"/>
            </w:tcMar>
            <w:vAlign w:val="center"/>
          </w:tcPr>
          <w:p>
            <w:pPr>
              <w:pStyle w:val="TableContents"/>
              <w:bidi w:val="0"/>
              <w:spacing w:before="0" w:after="283"/>
              <w:jc w:val="left"/>
              <w:rPr/>
            </w:pPr>
            <w:r>
              <w:rPr/>
              <w:t>$</w:t>
            </w:r>
          </w:p>
        </w:tc>
        <w:tc>
          <w:tcPr>
            <w:tcW w:w="986" w:type="dxa"/>
            <w:tcBorders>
              <w:bottom w:val="double" w:sz="10" w:space="0" w:color="000000"/>
            </w:tcBorders>
            <w:tcMar>
              <w:bottom w:w="28" w:type="dxa"/>
            </w:tcMar>
            <w:vAlign w:val="center"/>
          </w:tcPr>
          <w:p>
            <w:pPr>
              <w:pStyle w:val="TableContents"/>
              <w:bidi w:val="0"/>
              <w:spacing w:before="0" w:after="283"/>
              <w:jc w:val="right"/>
              <w:rPr/>
            </w:pPr>
            <w:r>
              <w:rPr/>
              <w:t>1,626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5" w:type="dxa"/>
            <w:tcBorders>
              <w:bottom w:val="double" w:sz="10" w:space="0" w:color="000000"/>
            </w:tcBorders>
            <w:tcMar>
              <w:bottom w:w="28" w:type="dxa"/>
            </w:tcMar>
            <w:vAlign w:val="center"/>
          </w:tcPr>
          <w:p>
            <w:pPr>
              <w:pStyle w:val="TableContents"/>
              <w:bidi w:val="0"/>
              <w:spacing w:before="0" w:after="283"/>
              <w:jc w:val="left"/>
              <w:rPr/>
            </w:pPr>
            <w:r>
              <w:rPr/>
              <w:t>$</w:t>
            </w:r>
          </w:p>
        </w:tc>
        <w:tc>
          <w:tcPr>
            <w:tcW w:w="884" w:type="dxa"/>
            <w:tcBorders>
              <w:bottom w:val="double" w:sz="10" w:space="0" w:color="000000"/>
            </w:tcBorders>
            <w:tcMar>
              <w:bottom w:w="28" w:type="dxa"/>
            </w:tcMar>
            <w:vAlign w:val="center"/>
          </w:tcPr>
          <w:p>
            <w:pPr>
              <w:pStyle w:val="TableContents"/>
              <w:bidi w:val="0"/>
              <w:spacing w:before="0" w:after="283"/>
              <w:jc w:val="right"/>
              <w:rPr/>
            </w:pPr>
            <w:r>
              <w:rPr/>
              <w:t>3,503</w:t>
            </w:r>
          </w:p>
        </w:tc>
        <w:tc>
          <w:tcPr>
            <w:tcW w:w="134"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255" w:type="dxa"/>
            <w:tcBorders>
              <w:bottom w:val="double" w:sz="10" w:space="0" w:color="000000"/>
            </w:tcBorders>
            <w:tcMar>
              <w:bottom w:w="28" w:type="dxa"/>
            </w:tcMar>
            <w:vAlign w:val="center"/>
          </w:tcPr>
          <w:p>
            <w:pPr>
              <w:pStyle w:val="TableContents"/>
              <w:bidi w:val="0"/>
              <w:spacing w:before="0" w:after="283"/>
              <w:jc w:val="left"/>
              <w:rPr/>
            </w:pPr>
            <w:r>
              <w:rPr/>
              <w:t>$</w:t>
            </w:r>
          </w:p>
        </w:tc>
        <w:tc>
          <w:tcPr>
            <w:tcW w:w="884" w:type="dxa"/>
            <w:tcBorders>
              <w:bottom w:val="double" w:sz="10" w:space="0" w:color="000000"/>
            </w:tcBorders>
            <w:tcMar>
              <w:bottom w:w="28" w:type="dxa"/>
            </w:tcMar>
            <w:vAlign w:val="center"/>
          </w:tcPr>
          <w:p>
            <w:pPr>
              <w:pStyle w:val="TableContents"/>
              <w:bidi w:val="0"/>
              <w:spacing w:before="0" w:after="283"/>
              <w:jc w:val="right"/>
              <w:rPr/>
            </w:pPr>
            <w:r>
              <w:rPr/>
              <w:t>3,355</w:t>
            </w:r>
          </w:p>
        </w:tc>
        <w:tc>
          <w:tcPr>
            <w:tcW w:w="141"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Prepaid Expenses and Other Current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assets consist of the following:</w:t>
      </w:r>
    </w:p>
    <w:p>
      <w:pPr>
        <w:pStyle w:val="TextBody"/>
        <w:bidi w:val="0"/>
        <w:spacing w:before="0" w:after="0"/>
        <w:ind w:left="0" w:right="0" w:firstLine="360"/>
        <w:jc w:val="both"/>
        <w:rPr>
          <w:caps w:val="false"/>
          <w:smallCaps w:val="false"/>
        </w:rPr>
      </w:pPr>
      <w:r>
        <w:rPr>
          <w:caps w:val="false"/>
          <w:smallCaps w:val="false"/>
        </w:rPr>
        <w:t> </w:t>
      </w:r>
    </w:p>
    <w:tbl>
      <w:tblPr>
        <w:tblW w:w="8458" w:type="dxa"/>
        <w:jc w:val="left"/>
        <w:tblInd w:w="0" w:type="dxa"/>
        <w:tblLayout w:type="fixed"/>
        <w:tblCellMar>
          <w:top w:w="0" w:type="dxa"/>
          <w:left w:w="0" w:type="dxa"/>
          <w:bottom w:w="0" w:type="dxa"/>
          <w:right w:w="0" w:type="dxa"/>
        </w:tblCellMar>
      </w:tblPr>
      <w:tblGrid>
        <w:gridCol w:w="5645"/>
        <w:gridCol w:w="90"/>
        <w:gridCol w:w="202"/>
        <w:gridCol w:w="702"/>
        <w:gridCol w:w="90"/>
        <w:gridCol w:w="90"/>
        <w:gridCol w:w="336"/>
        <w:gridCol w:w="1168"/>
        <w:gridCol w:w="135"/>
      </w:tblGrid>
      <w:tr>
        <w:trPr/>
        <w:tc>
          <w:tcPr>
            <w:tcW w:w="564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58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w:t>
            </w:r>
          </w:p>
        </w:tc>
        <w:tc>
          <w:tcPr>
            <w:tcW w:w="135" w:type="dxa"/>
            <w:tcBorders/>
            <w:vAlign w:val="center"/>
          </w:tcPr>
          <w:p>
            <w:pPr>
              <w:pStyle w:val="TableContents"/>
              <w:bidi w:val="0"/>
              <w:spacing w:before="0" w:after="283"/>
              <w:jc w:val="left"/>
              <w:rPr/>
            </w:pPr>
            <w:r>
              <w:rPr/>
              <w:t> </w:t>
            </w:r>
          </w:p>
        </w:tc>
      </w:tr>
      <w:tr>
        <w:trPr/>
        <w:tc>
          <w:tcPr>
            <w:tcW w:w="564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2025</w:t>
            </w:r>
          </w:p>
        </w:tc>
        <w:tc>
          <w:tcPr>
            <w:tcW w:w="135" w:type="dxa"/>
            <w:tcBorders/>
            <w:vAlign w:val="center"/>
          </w:tcPr>
          <w:p>
            <w:pPr>
              <w:pStyle w:val="TableContents"/>
              <w:bidi w:val="0"/>
              <w:spacing w:before="0" w:after="283"/>
              <w:jc w:val="left"/>
              <w:rPr/>
            </w:pPr>
            <w:r>
              <w:rPr/>
              <w:t> </w:t>
            </w:r>
          </w:p>
        </w:tc>
      </w:tr>
      <w:tr>
        <w:trPr/>
        <w:tc>
          <w:tcPr>
            <w:tcW w:w="5645" w:type="dxa"/>
            <w:tcBorders/>
            <w:shd w:fill="CCEEFF" w:val="clear"/>
            <w:vAlign w:val="center"/>
          </w:tcPr>
          <w:p>
            <w:pPr>
              <w:pStyle w:val="TableContents"/>
              <w:bidi w:val="0"/>
              <w:spacing w:before="0" w:after="283"/>
              <w:jc w:val="left"/>
              <w:rPr/>
            </w:pPr>
            <w:r>
              <w:rPr/>
              <w:t>Prepaid research and development</w:t>
            </w:r>
          </w:p>
        </w:tc>
        <w:tc>
          <w:tcPr>
            <w:tcW w:w="9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w:t>
            </w:r>
          </w:p>
        </w:tc>
        <w:tc>
          <w:tcPr>
            <w:tcW w:w="702" w:type="dxa"/>
            <w:tcBorders/>
            <w:shd w:fill="CCEEFF" w:val="clear"/>
            <w:vAlign w:val="center"/>
          </w:tcPr>
          <w:p>
            <w:pPr>
              <w:pStyle w:val="TableContents"/>
              <w:bidi w:val="0"/>
              <w:spacing w:before="0" w:after="283"/>
              <w:jc w:val="right"/>
              <w:rPr/>
            </w:pPr>
            <w:r>
              <w:rPr/>
              <w:t>1,079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36" w:type="dxa"/>
            <w:tcBorders/>
            <w:shd w:fill="CCEEFF" w:val="clear"/>
            <w:vAlign w:val="center"/>
          </w:tcPr>
          <w:p>
            <w:pPr>
              <w:pStyle w:val="TableContents"/>
              <w:bidi w:val="0"/>
              <w:spacing w:before="0" w:after="283"/>
              <w:jc w:val="left"/>
              <w:rPr/>
            </w:pPr>
            <w:r>
              <w:rPr/>
              <w:t>$</w:t>
            </w:r>
          </w:p>
        </w:tc>
        <w:tc>
          <w:tcPr>
            <w:tcW w:w="1168" w:type="dxa"/>
            <w:tcBorders/>
            <w:shd w:fill="CCEEFF" w:val="clear"/>
            <w:vAlign w:val="center"/>
          </w:tcPr>
          <w:p>
            <w:pPr>
              <w:pStyle w:val="TableContents"/>
              <w:bidi w:val="0"/>
              <w:spacing w:before="0" w:after="283"/>
              <w:jc w:val="right"/>
              <w:rPr/>
            </w:pPr>
            <w:r>
              <w:rPr/>
              <w:t>1,926</w:t>
            </w:r>
          </w:p>
        </w:tc>
        <w:tc>
          <w:tcPr>
            <w:tcW w:w="135" w:type="dxa"/>
            <w:tcBorders/>
            <w:shd w:fill="CCEEFF" w:val="clear"/>
            <w:vAlign w:val="center"/>
          </w:tcPr>
          <w:p>
            <w:pPr>
              <w:pStyle w:val="TableContents"/>
              <w:bidi w:val="0"/>
              <w:spacing w:before="0" w:after="283"/>
              <w:jc w:val="left"/>
              <w:rPr/>
            </w:pPr>
            <w:r>
              <w:rPr/>
              <w:t> </w:t>
            </w:r>
          </w:p>
        </w:tc>
      </w:tr>
      <w:tr>
        <w:trPr/>
        <w:tc>
          <w:tcPr>
            <w:tcW w:w="5645" w:type="dxa"/>
            <w:tcBorders/>
            <w:vAlign w:val="center"/>
          </w:tcPr>
          <w:p>
            <w:pPr>
              <w:pStyle w:val="TableContents"/>
              <w:bidi w:val="0"/>
              <w:spacing w:before="0" w:after="283"/>
              <w:jc w:val="left"/>
              <w:rPr/>
            </w:pPr>
            <w:r>
              <w:rPr/>
              <w:t>Accrued interest on marketable debt securities</w:t>
            </w:r>
          </w:p>
        </w:tc>
        <w:tc>
          <w:tcPr>
            <w:tcW w:w="9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702" w:type="dxa"/>
            <w:tcBorders/>
            <w:vAlign w:val="center"/>
          </w:tcPr>
          <w:p>
            <w:pPr>
              <w:pStyle w:val="TableContents"/>
              <w:bidi w:val="0"/>
              <w:spacing w:before="0" w:after="283"/>
              <w:jc w:val="right"/>
              <w:rPr/>
            </w:pPr>
            <w:r>
              <w:rPr/>
              <w:t>1,277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283"/>
              <w:jc w:val="left"/>
              <w:rPr/>
            </w:pPr>
            <w:r>
              <w:rPr/>
              <w:t> </w:t>
            </w:r>
          </w:p>
        </w:tc>
        <w:tc>
          <w:tcPr>
            <w:tcW w:w="1168" w:type="dxa"/>
            <w:tcBorders/>
            <w:vAlign w:val="center"/>
          </w:tcPr>
          <w:p>
            <w:pPr>
              <w:pStyle w:val="TableContents"/>
              <w:bidi w:val="0"/>
              <w:spacing w:before="0" w:after="283"/>
              <w:jc w:val="right"/>
              <w:rPr/>
            </w:pPr>
            <w:r>
              <w:rPr/>
              <w:t>1,257</w:t>
            </w:r>
          </w:p>
        </w:tc>
        <w:tc>
          <w:tcPr>
            <w:tcW w:w="135" w:type="dxa"/>
            <w:tcBorders/>
            <w:vAlign w:val="center"/>
          </w:tcPr>
          <w:p>
            <w:pPr>
              <w:pStyle w:val="TableContents"/>
              <w:bidi w:val="0"/>
              <w:spacing w:before="0" w:after="283"/>
              <w:jc w:val="left"/>
              <w:rPr/>
            </w:pPr>
            <w:r>
              <w:rPr/>
              <w:t> </w:t>
            </w:r>
          </w:p>
        </w:tc>
      </w:tr>
      <w:tr>
        <w:trPr/>
        <w:tc>
          <w:tcPr>
            <w:tcW w:w="5645" w:type="dxa"/>
            <w:tcBorders/>
            <w:shd w:fill="CCEEFF" w:val="clear"/>
            <w:vAlign w:val="center"/>
          </w:tcPr>
          <w:p>
            <w:pPr>
              <w:pStyle w:val="TableContents"/>
              <w:bidi w:val="0"/>
              <w:spacing w:before="0" w:after="283"/>
              <w:jc w:val="left"/>
              <w:rPr/>
            </w:pPr>
            <w:r>
              <w:rPr/>
              <w:t>Proceeds in transit in connection with stock option exercise</w:t>
            </w:r>
          </w:p>
        </w:tc>
        <w:tc>
          <w:tcPr>
            <w:tcW w:w="9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702" w:type="dxa"/>
            <w:tcBorders/>
            <w:shd w:fill="CCEEFF" w:val="clear"/>
            <w:vAlign w:val="center"/>
          </w:tcPr>
          <w:p>
            <w:pPr>
              <w:pStyle w:val="TableContents"/>
              <w:bidi w:val="0"/>
              <w:spacing w:before="0" w:after="283"/>
              <w:jc w:val="right"/>
              <w:rPr/>
            </w:pPr>
            <w:r>
              <w:rPr/>
              <w:t>412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36"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5645" w:type="dxa"/>
            <w:tcBorders/>
            <w:vAlign w:val="center"/>
          </w:tcPr>
          <w:p>
            <w:pPr>
              <w:pStyle w:val="TableContents"/>
              <w:bidi w:val="0"/>
              <w:spacing w:before="0" w:after="283"/>
              <w:jc w:val="left"/>
              <w:rPr/>
            </w:pPr>
            <w:r>
              <w:rPr/>
              <w:t>Prepaid insurance</w:t>
            </w:r>
          </w:p>
        </w:tc>
        <w:tc>
          <w:tcPr>
            <w:tcW w:w="9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702" w:type="dxa"/>
            <w:tcBorders/>
            <w:vAlign w:val="center"/>
          </w:tcPr>
          <w:p>
            <w:pPr>
              <w:pStyle w:val="TableContents"/>
              <w:bidi w:val="0"/>
              <w:spacing w:before="0" w:after="283"/>
              <w:jc w:val="right"/>
              <w:rPr/>
            </w:pPr>
            <w:r>
              <w:rPr/>
              <w:t>166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283"/>
              <w:jc w:val="left"/>
              <w:rPr/>
            </w:pPr>
            <w:r>
              <w:rPr/>
              <w:t> </w:t>
            </w:r>
          </w:p>
        </w:tc>
        <w:tc>
          <w:tcPr>
            <w:tcW w:w="1168" w:type="dxa"/>
            <w:tcBorders/>
            <w:vAlign w:val="center"/>
          </w:tcPr>
          <w:p>
            <w:pPr>
              <w:pStyle w:val="TableContents"/>
              <w:bidi w:val="0"/>
              <w:spacing w:before="0" w:after="283"/>
              <w:jc w:val="right"/>
              <w:rPr/>
            </w:pPr>
            <w:r>
              <w:rPr/>
              <w:t>355</w:t>
            </w:r>
          </w:p>
        </w:tc>
        <w:tc>
          <w:tcPr>
            <w:tcW w:w="135" w:type="dxa"/>
            <w:tcBorders/>
            <w:vAlign w:val="center"/>
          </w:tcPr>
          <w:p>
            <w:pPr>
              <w:pStyle w:val="TableContents"/>
              <w:bidi w:val="0"/>
              <w:spacing w:before="0" w:after="283"/>
              <w:jc w:val="left"/>
              <w:rPr/>
            </w:pPr>
            <w:r>
              <w:rPr/>
              <w:t> </w:t>
            </w:r>
          </w:p>
        </w:tc>
      </w:tr>
      <w:tr>
        <w:trPr/>
        <w:tc>
          <w:tcPr>
            <w:tcW w:w="5645" w:type="dxa"/>
            <w:tcBorders/>
            <w:shd w:fill="CCEEFF" w:val="clear"/>
            <w:vAlign w:val="center"/>
          </w:tcPr>
          <w:p>
            <w:pPr>
              <w:pStyle w:val="TableContents"/>
              <w:bidi w:val="0"/>
              <w:spacing w:before="0" w:after="283"/>
              <w:jc w:val="left"/>
              <w:rPr/>
            </w:pPr>
            <w:r>
              <w:rPr/>
              <w:t>Prepaid software</w:t>
            </w:r>
          </w:p>
        </w:tc>
        <w:tc>
          <w:tcPr>
            <w:tcW w:w="9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702" w:type="dxa"/>
            <w:tcBorders/>
            <w:shd w:fill="CCEEFF" w:val="clear"/>
            <w:vAlign w:val="center"/>
          </w:tcPr>
          <w:p>
            <w:pPr>
              <w:pStyle w:val="TableContents"/>
              <w:bidi w:val="0"/>
              <w:spacing w:before="0" w:after="283"/>
              <w:jc w:val="right"/>
              <w:rPr/>
            </w:pPr>
            <w:r>
              <w:rPr/>
              <w:t>253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36"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115</w:t>
            </w:r>
          </w:p>
        </w:tc>
        <w:tc>
          <w:tcPr>
            <w:tcW w:w="135" w:type="dxa"/>
            <w:tcBorders/>
            <w:shd w:fill="CCEEFF" w:val="clear"/>
            <w:vAlign w:val="center"/>
          </w:tcPr>
          <w:p>
            <w:pPr>
              <w:pStyle w:val="TableContents"/>
              <w:bidi w:val="0"/>
              <w:spacing w:before="0" w:after="283"/>
              <w:jc w:val="left"/>
              <w:rPr/>
            </w:pPr>
            <w:r>
              <w:rPr/>
              <w:t> </w:t>
            </w:r>
          </w:p>
        </w:tc>
      </w:tr>
      <w:tr>
        <w:trPr/>
        <w:tc>
          <w:tcPr>
            <w:tcW w:w="5645" w:type="dxa"/>
            <w:tcBorders/>
            <w:vAlign w:val="center"/>
          </w:tcPr>
          <w:p>
            <w:pPr>
              <w:pStyle w:val="TableContents"/>
              <w:bidi w:val="0"/>
              <w:spacing w:before="0" w:after="283"/>
              <w:jc w:val="left"/>
              <w:rPr/>
            </w:pPr>
            <w:r>
              <w:rPr/>
              <w:t>Other prepaid expenses</w:t>
            </w:r>
          </w:p>
        </w:tc>
        <w:tc>
          <w:tcPr>
            <w:tcW w:w="9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702" w:type="dxa"/>
            <w:tcBorders/>
            <w:vAlign w:val="center"/>
          </w:tcPr>
          <w:p>
            <w:pPr>
              <w:pStyle w:val="TableContents"/>
              <w:bidi w:val="0"/>
              <w:spacing w:before="0" w:after="283"/>
              <w:jc w:val="right"/>
              <w:rPr/>
            </w:pPr>
            <w:r>
              <w:rPr/>
              <w:t>241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283"/>
              <w:jc w:val="left"/>
              <w:rPr/>
            </w:pPr>
            <w:r>
              <w:rPr/>
              <w:t> </w:t>
            </w:r>
          </w:p>
        </w:tc>
        <w:tc>
          <w:tcPr>
            <w:tcW w:w="1168" w:type="dxa"/>
            <w:tcBorders/>
            <w:vAlign w:val="center"/>
          </w:tcPr>
          <w:p>
            <w:pPr>
              <w:pStyle w:val="TableContents"/>
              <w:bidi w:val="0"/>
              <w:spacing w:before="0" w:after="283"/>
              <w:jc w:val="right"/>
              <w:rPr/>
            </w:pPr>
            <w:r>
              <w:rPr/>
              <w:t>232</w:t>
            </w:r>
          </w:p>
        </w:tc>
        <w:tc>
          <w:tcPr>
            <w:tcW w:w="135" w:type="dxa"/>
            <w:tcBorders/>
            <w:vAlign w:val="center"/>
          </w:tcPr>
          <w:p>
            <w:pPr>
              <w:pStyle w:val="TableContents"/>
              <w:bidi w:val="0"/>
              <w:spacing w:before="0" w:after="283"/>
              <w:jc w:val="left"/>
              <w:rPr/>
            </w:pPr>
            <w:r>
              <w:rPr/>
              <w:t> </w:t>
            </w:r>
          </w:p>
        </w:tc>
      </w:tr>
      <w:tr>
        <w:trPr/>
        <w:tc>
          <w:tcPr>
            <w:tcW w:w="5645" w:type="dxa"/>
            <w:tcBorders/>
            <w:shd w:fill="CCEEFF" w:val="clear"/>
            <w:vAlign w:val="center"/>
          </w:tcPr>
          <w:p>
            <w:pPr>
              <w:pStyle w:val="TableContents"/>
              <w:bidi w:val="0"/>
              <w:spacing w:before="0" w:after="283"/>
              <w:jc w:val="left"/>
              <w:rPr/>
            </w:pPr>
            <w:r>
              <w:rPr/>
              <w:t>Other current assets</w:t>
            </w:r>
          </w:p>
        </w:tc>
        <w:tc>
          <w:tcPr>
            <w:tcW w:w="90" w:type="dxa"/>
            <w:tcBorders/>
            <w:shd w:fill="CCEEFF" w:val="clear"/>
            <w:vAlign w:val="center"/>
          </w:tcPr>
          <w:p>
            <w:pPr>
              <w:pStyle w:val="TableContents"/>
              <w:bidi w:val="0"/>
              <w:spacing w:before="0" w:after="283"/>
              <w:jc w:val="left"/>
              <w:rPr/>
            </w:pPr>
            <w:r>
              <w:rPr/>
              <w:t> </w:t>
            </w:r>
          </w:p>
        </w:tc>
        <w:tc>
          <w:tcPr>
            <w:tcW w:w="20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02" w:type="dxa"/>
            <w:tcBorders>
              <w:bottom w:val="single" w:sz="12" w:space="0" w:color="000000"/>
            </w:tcBorders>
            <w:shd w:fill="CCEEFF" w:val="clear"/>
            <w:tcMar>
              <w:bottom w:w="28" w:type="dxa"/>
            </w:tcMar>
            <w:vAlign w:val="center"/>
          </w:tcPr>
          <w:p>
            <w:pPr>
              <w:pStyle w:val="TableContents"/>
              <w:bidi w:val="0"/>
              <w:spacing w:before="0" w:after="283"/>
              <w:jc w:val="right"/>
              <w:rPr/>
            </w:pPr>
            <w:r>
              <w:rPr/>
              <w:t>230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3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8" w:type="dxa"/>
            <w:tcBorders>
              <w:bottom w:val="single" w:sz="12" w:space="0" w:color="000000"/>
            </w:tcBorders>
            <w:shd w:fill="CCEEFF" w:val="clear"/>
            <w:tcMar>
              <w:bottom w:w="28" w:type="dxa"/>
            </w:tcMar>
            <w:vAlign w:val="center"/>
          </w:tcPr>
          <w:p>
            <w:pPr>
              <w:pStyle w:val="TableContents"/>
              <w:bidi w:val="0"/>
              <w:spacing w:before="0" w:after="283"/>
              <w:jc w:val="right"/>
              <w:rPr/>
            </w:pPr>
            <w:r>
              <w:rPr/>
              <w:t>65</w:t>
            </w:r>
          </w:p>
        </w:tc>
        <w:tc>
          <w:tcPr>
            <w:tcW w:w="135" w:type="dxa"/>
            <w:tcBorders/>
            <w:shd w:fill="CCEEFF" w:val="clear"/>
            <w:vAlign w:val="center"/>
          </w:tcPr>
          <w:p>
            <w:pPr>
              <w:pStyle w:val="TableContents"/>
              <w:bidi w:val="0"/>
              <w:spacing w:before="0" w:after="283"/>
              <w:jc w:val="left"/>
              <w:rPr/>
            </w:pPr>
            <w:r>
              <w:rPr/>
              <w:t> </w:t>
            </w:r>
          </w:p>
        </w:tc>
      </w:tr>
      <w:tr>
        <w:trPr/>
        <w:tc>
          <w:tcPr>
            <w:tcW w:w="5645" w:type="dxa"/>
            <w:tcBorders/>
            <w:vAlign w:val="center"/>
          </w:tcPr>
          <w:p>
            <w:pPr>
              <w:pStyle w:val="TableContents"/>
              <w:bidi w:val="0"/>
              <w:spacing w:before="0" w:after="283"/>
              <w:jc w:val="left"/>
              <w:rPr/>
            </w:pPr>
            <w:r>
              <w:rPr/>
              <w:t>Total</w:t>
            </w:r>
          </w:p>
        </w:tc>
        <w:tc>
          <w:tcPr>
            <w:tcW w:w="90" w:type="dxa"/>
            <w:tcBorders/>
            <w:vAlign w:val="center"/>
          </w:tcPr>
          <w:p>
            <w:pPr>
              <w:pStyle w:val="TableContents"/>
              <w:bidi w:val="0"/>
              <w:spacing w:before="0" w:after="283"/>
              <w:jc w:val="left"/>
              <w:rPr/>
            </w:pPr>
            <w:r>
              <w:rPr/>
              <w:t> </w:t>
            </w:r>
          </w:p>
        </w:tc>
        <w:tc>
          <w:tcPr>
            <w:tcW w:w="202" w:type="dxa"/>
            <w:tcBorders>
              <w:bottom w:val="double" w:sz="10" w:space="0" w:color="000000"/>
            </w:tcBorders>
            <w:tcMar>
              <w:bottom w:w="28" w:type="dxa"/>
            </w:tcMar>
            <w:vAlign w:val="center"/>
          </w:tcPr>
          <w:p>
            <w:pPr>
              <w:pStyle w:val="TableContents"/>
              <w:bidi w:val="0"/>
              <w:spacing w:before="0" w:after="283"/>
              <w:jc w:val="left"/>
              <w:rPr/>
            </w:pPr>
            <w:r>
              <w:rPr/>
              <w:t>$</w:t>
            </w:r>
          </w:p>
        </w:tc>
        <w:tc>
          <w:tcPr>
            <w:tcW w:w="702" w:type="dxa"/>
            <w:tcBorders>
              <w:bottom w:val="double" w:sz="10" w:space="0" w:color="000000"/>
            </w:tcBorders>
            <w:tcMar>
              <w:bottom w:w="28" w:type="dxa"/>
            </w:tcMar>
            <w:vAlign w:val="center"/>
          </w:tcPr>
          <w:p>
            <w:pPr>
              <w:pStyle w:val="TableContents"/>
              <w:bidi w:val="0"/>
              <w:spacing w:before="0" w:after="283"/>
              <w:jc w:val="right"/>
              <w:rPr/>
            </w:pPr>
            <w:r>
              <w:rPr/>
              <w:t>3,658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36" w:type="dxa"/>
            <w:tcBorders>
              <w:bottom w:val="double" w:sz="10" w:space="0" w:color="000000"/>
            </w:tcBorders>
            <w:tcMar>
              <w:bottom w:w="28" w:type="dxa"/>
            </w:tcMar>
            <w:vAlign w:val="center"/>
          </w:tcPr>
          <w:p>
            <w:pPr>
              <w:pStyle w:val="TableContents"/>
              <w:bidi w:val="0"/>
              <w:spacing w:before="0" w:after="283"/>
              <w:jc w:val="left"/>
              <w:rPr/>
            </w:pPr>
            <w:r>
              <w:rPr/>
              <w:t>$</w:t>
            </w:r>
          </w:p>
        </w:tc>
        <w:tc>
          <w:tcPr>
            <w:tcW w:w="1168" w:type="dxa"/>
            <w:tcBorders>
              <w:bottom w:val="double" w:sz="10" w:space="0" w:color="000000"/>
            </w:tcBorders>
            <w:tcMar>
              <w:bottom w:w="28" w:type="dxa"/>
            </w:tcMar>
            <w:vAlign w:val="center"/>
          </w:tcPr>
          <w:p>
            <w:pPr>
              <w:pStyle w:val="TableContents"/>
              <w:bidi w:val="0"/>
              <w:spacing w:before="0" w:after="283"/>
              <w:jc w:val="right"/>
              <w:rPr/>
            </w:pPr>
            <w:r>
              <w:rPr/>
              <w:t>3,950</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Protara Therapeutics,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(amounts in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Other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assets consist of the following:</w:t>
      </w:r>
    </w:p>
    <w:p>
      <w:pPr>
        <w:pStyle w:val="TextBody"/>
        <w:bidi w:val="0"/>
        <w:spacing w:before="0" w:after="0"/>
        <w:ind w:left="0" w:right="0" w:firstLine="360"/>
        <w:jc w:val="left"/>
        <w:rPr>
          <w:caps w:val="false"/>
          <w:smallCaps w:val="false"/>
        </w:rPr>
      </w:pPr>
      <w:r>
        <w:rPr>
          <w:caps w:val="false"/>
          <w:smallCaps w:val="false"/>
        </w:rPr>
        <w:t> </w:t>
      </w:r>
    </w:p>
    <w:tbl>
      <w:tblPr>
        <w:tblW w:w="7274" w:type="dxa"/>
        <w:jc w:val="left"/>
        <w:tblInd w:w="0" w:type="dxa"/>
        <w:tblLayout w:type="fixed"/>
        <w:tblCellMar>
          <w:top w:w="0" w:type="dxa"/>
          <w:left w:w="0" w:type="dxa"/>
          <w:bottom w:w="0" w:type="dxa"/>
          <w:right w:w="0" w:type="dxa"/>
        </w:tblCellMar>
      </w:tblPr>
      <w:tblGrid>
        <w:gridCol w:w="4520"/>
        <w:gridCol w:w="90"/>
        <w:gridCol w:w="202"/>
        <w:gridCol w:w="702"/>
        <w:gridCol w:w="90"/>
        <w:gridCol w:w="90"/>
        <w:gridCol w:w="323"/>
        <w:gridCol w:w="1122"/>
        <w:gridCol w:w="135"/>
      </w:tblGrid>
      <w:tr>
        <w:trPr/>
        <w:tc>
          <w:tcPr>
            <w:tcW w:w="45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529"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w:t>
            </w:r>
          </w:p>
        </w:tc>
        <w:tc>
          <w:tcPr>
            <w:tcW w:w="135" w:type="dxa"/>
            <w:tcBorders/>
            <w:vAlign w:val="center"/>
          </w:tcPr>
          <w:p>
            <w:pPr>
              <w:pStyle w:val="TableContents"/>
              <w:bidi w:val="0"/>
              <w:spacing w:before="0" w:after="283"/>
              <w:jc w:val="left"/>
              <w:rPr/>
            </w:pPr>
            <w:r>
              <w:rPr/>
              <w:t> </w:t>
            </w:r>
          </w:p>
        </w:tc>
      </w:tr>
      <w:tr>
        <w:trPr/>
        <w:tc>
          <w:tcPr>
            <w:tcW w:w="45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4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135" w:type="dxa"/>
            <w:tcBorders/>
            <w:vAlign w:val="center"/>
          </w:tcPr>
          <w:p>
            <w:pPr>
              <w:pStyle w:val="TableContents"/>
              <w:bidi w:val="0"/>
              <w:spacing w:before="0" w:after="283"/>
              <w:jc w:val="center"/>
              <w:rPr/>
            </w:pPr>
            <w:r>
              <w:rPr/>
              <w:t> </w:t>
            </w:r>
          </w:p>
        </w:tc>
      </w:tr>
      <w:tr>
        <w:trPr/>
        <w:tc>
          <w:tcPr>
            <w:tcW w:w="4520" w:type="dxa"/>
            <w:tcBorders/>
            <w:shd w:fill="CCEEFF" w:val="clear"/>
            <w:vAlign w:val="center"/>
          </w:tcPr>
          <w:p>
            <w:pPr>
              <w:pStyle w:val="TableContents"/>
              <w:bidi w:val="0"/>
              <w:spacing w:before="0" w:after="283"/>
              <w:jc w:val="left"/>
              <w:rPr/>
            </w:pPr>
            <w:r>
              <w:rPr/>
              <w:t>Prepaid research and development, non-current</w:t>
            </w:r>
          </w:p>
        </w:tc>
        <w:tc>
          <w:tcPr>
            <w:tcW w:w="9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w:t>
            </w:r>
          </w:p>
        </w:tc>
        <w:tc>
          <w:tcPr>
            <w:tcW w:w="702" w:type="dxa"/>
            <w:tcBorders/>
            <w:shd w:fill="CCEEFF" w:val="clear"/>
            <w:vAlign w:val="center"/>
          </w:tcPr>
          <w:p>
            <w:pPr>
              <w:pStyle w:val="TableContents"/>
              <w:bidi w:val="0"/>
              <w:spacing w:before="0" w:after="283"/>
              <w:jc w:val="right"/>
              <w:rPr/>
            </w:pPr>
            <w:r>
              <w:rPr/>
              <w:t>5,846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3" w:type="dxa"/>
            <w:tcBorders/>
            <w:shd w:fill="CCEEFF" w:val="clear"/>
            <w:vAlign w:val="center"/>
          </w:tcPr>
          <w:p>
            <w:pPr>
              <w:pStyle w:val="TableContents"/>
              <w:bidi w:val="0"/>
              <w:spacing w:before="0" w:after="283"/>
              <w:jc w:val="left"/>
              <w:rPr/>
            </w:pPr>
            <w:r>
              <w:rPr/>
              <w:t>$</w:t>
            </w:r>
          </w:p>
        </w:tc>
        <w:tc>
          <w:tcPr>
            <w:tcW w:w="1122" w:type="dxa"/>
            <w:tcBorders/>
            <w:shd w:fill="CCEEFF" w:val="clear"/>
            <w:vAlign w:val="center"/>
          </w:tcPr>
          <w:p>
            <w:pPr>
              <w:pStyle w:val="TableContents"/>
              <w:bidi w:val="0"/>
              <w:spacing w:before="0" w:after="283"/>
              <w:jc w:val="right"/>
              <w:rPr/>
            </w:pPr>
            <w:r>
              <w:rPr/>
              <w:t>2,930</w:t>
            </w:r>
          </w:p>
        </w:tc>
        <w:tc>
          <w:tcPr>
            <w:tcW w:w="135" w:type="dxa"/>
            <w:tcBorders/>
            <w:shd w:fill="CCEEFF" w:val="clear"/>
            <w:vAlign w:val="center"/>
          </w:tcPr>
          <w:p>
            <w:pPr>
              <w:pStyle w:val="TableContents"/>
              <w:bidi w:val="0"/>
              <w:spacing w:before="0" w:after="283"/>
              <w:jc w:val="left"/>
              <w:rPr/>
            </w:pPr>
            <w:r>
              <w:rPr/>
              <w:t> </w:t>
            </w:r>
          </w:p>
        </w:tc>
      </w:tr>
      <w:tr>
        <w:trPr/>
        <w:tc>
          <w:tcPr>
            <w:tcW w:w="4520" w:type="dxa"/>
            <w:tcBorders/>
            <w:vAlign w:val="center"/>
          </w:tcPr>
          <w:p>
            <w:pPr>
              <w:pStyle w:val="TableContents"/>
              <w:bidi w:val="0"/>
              <w:spacing w:before="0" w:after="283"/>
              <w:jc w:val="left"/>
              <w:rPr/>
            </w:pPr>
            <w:r>
              <w:rPr/>
              <w:t>Other non-current assets</w:t>
            </w:r>
          </w:p>
        </w:tc>
        <w:tc>
          <w:tcPr>
            <w:tcW w:w="90" w:type="dxa"/>
            <w:tcBorders/>
            <w:vAlign w:val="center"/>
          </w:tcPr>
          <w:p>
            <w:pPr>
              <w:pStyle w:val="TableContents"/>
              <w:bidi w:val="0"/>
              <w:spacing w:before="0" w:after="283"/>
              <w:jc w:val="left"/>
              <w:rPr/>
            </w:pPr>
            <w:r>
              <w:rPr/>
              <w:t> </w:t>
            </w:r>
          </w:p>
        </w:tc>
        <w:tc>
          <w:tcPr>
            <w:tcW w:w="202" w:type="dxa"/>
            <w:tcBorders>
              <w:bottom w:val="single" w:sz="12" w:space="0" w:color="000000"/>
            </w:tcBorders>
            <w:tcMar>
              <w:bottom w:w="28" w:type="dxa"/>
            </w:tcMar>
            <w:vAlign w:val="center"/>
          </w:tcPr>
          <w:p>
            <w:pPr>
              <w:pStyle w:val="TableContents"/>
              <w:bidi w:val="0"/>
              <w:spacing w:before="0" w:after="283"/>
              <w:jc w:val="left"/>
              <w:rPr/>
            </w:pPr>
            <w:r>
              <w:rPr/>
              <w:t> </w:t>
            </w:r>
          </w:p>
        </w:tc>
        <w:tc>
          <w:tcPr>
            <w:tcW w:w="702" w:type="dxa"/>
            <w:tcBorders>
              <w:bottom w:val="single" w:sz="12" w:space="0" w:color="000000"/>
            </w:tcBorders>
            <w:tcMar>
              <w:bottom w:w="28" w:type="dxa"/>
            </w:tcMar>
            <w:vAlign w:val="center"/>
          </w:tcPr>
          <w:p>
            <w:pPr>
              <w:pStyle w:val="TableContents"/>
              <w:bidi w:val="0"/>
              <w:spacing w:before="0" w:after="283"/>
              <w:jc w:val="right"/>
              <w:rPr/>
            </w:pPr>
            <w:r>
              <w:rPr/>
              <w:t>74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3" w:type="dxa"/>
            <w:tcBorders>
              <w:bottom w:val="single" w:sz="12" w:space="0" w:color="000000"/>
            </w:tcBorders>
            <w:tcMar>
              <w:bottom w:w="28" w:type="dxa"/>
            </w:tcMar>
            <w:vAlign w:val="center"/>
          </w:tcPr>
          <w:p>
            <w:pPr>
              <w:pStyle w:val="TableContents"/>
              <w:bidi w:val="0"/>
              <w:spacing w:before="0" w:after="283"/>
              <w:jc w:val="left"/>
              <w:rPr/>
            </w:pPr>
            <w:r>
              <w:rPr/>
              <w:t> </w:t>
            </w:r>
          </w:p>
        </w:tc>
        <w:tc>
          <w:tcPr>
            <w:tcW w:w="1122" w:type="dxa"/>
            <w:tcBorders>
              <w:bottom w:val="single" w:sz="12" w:space="0" w:color="000000"/>
            </w:tcBorders>
            <w:tcMar>
              <w:bottom w:w="28" w:type="dxa"/>
            </w:tcMar>
            <w:vAlign w:val="center"/>
          </w:tcPr>
          <w:p>
            <w:pPr>
              <w:pStyle w:val="TableContents"/>
              <w:bidi w:val="0"/>
              <w:spacing w:before="0" w:after="283"/>
              <w:jc w:val="right"/>
              <w:rPr/>
            </w:pPr>
            <w:r>
              <w:rPr/>
              <w:t>20</w:t>
            </w:r>
          </w:p>
        </w:tc>
        <w:tc>
          <w:tcPr>
            <w:tcW w:w="135" w:type="dxa"/>
            <w:tcBorders/>
            <w:vAlign w:val="center"/>
          </w:tcPr>
          <w:p>
            <w:pPr>
              <w:pStyle w:val="TableContents"/>
              <w:bidi w:val="0"/>
              <w:spacing w:before="0" w:after="283"/>
              <w:jc w:val="left"/>
              <w:rPr/>
            </w:pPr>
            <w:r>
              <w:rPr/>
              <w:t> </w:t>
            </w:r>
          </w:p>
        </w:tc>
      </w:tr>
      <w:tr>
        <w:trPr/>
        <w:tc>
          <w:tcPr>
            <w:tcW w:w="4520" w:type="dxa"/>
            <w:tcBorders/>
            <w:shd w:fill="CCEEFF" w:val="clear"/>
            <w:vAlign w:val="center"/>
          </w:tcPr>
          <w:p>
            <w:pPr>
              <w:pStyle w:val="TableContents"/>
              <w:bidi w:val="0"/>
              <w:spacing w:before="0" w:after="283"/>
              <w:jc w:val="left"/>
              <w:rPr/>
            </w:pPr>
            <w:r>
              <w:rPr/>
              <w:t>Total</w:t>
            </w:r>
          </w:p>
        </w:tc>
        <w:tc>
          <w:tcPr>
            <w:tcW w:w="90" w:type="dxa"/>
            <w:tcBorders/>
            <w:shd w:fill="CCEEFF" w:val="clear"/>
            <w:vAlign w:val="center"/>
          </w:tcPr>
          <w:p>
            <w:pPr>
              <w:pStyle w:val="TableContents"/>
              <w:bidi w:val="0"/>
              <w:spacing w:before="0" w:after="283"/>
              <w:jc w:val="left"/>
              <w:rPr/>
            </w:pPr>
            <w:r>
              <w:rPr/>
              <w:t> </w:t>
            </w:r>
          </w:p>
        </w:tc>
        <w:tc>
          <w:tcPr>
            <w:tcW w:w="20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02" w:type="dxa"/>
            <w:tcBorders>
              <w:bottom w:val="double" w:sz="10" w:space="0" w:color="000000"/>
            </w:tcBorders>
            <w:shd w:fill="CCEEFF" w:val="clear"/>
            <w:tcMar>
              <w:bottom w:w="28" w:type="dxa"/>
            </w:tcMar>
            <w:vAlign w:val="center"/>
          </w:tcPr>
          <w:p>
            <w:pPr>
              <w:pStyle w:val="TableContents"/>
              <w:bidi w:val="0"/>
              <w:spacing w:before="0" w:after="283"/>
              <w:jc w:val="right"/>
              <w:rPr/>
            </w:pPr>
            <w:r>
              <w:rPr/>
              <w:t>5,920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22" w:type="dxa"/>
            <w:tcBorders>
              <w:bottom w:val="double" w:sz="10" w:space="0" w:color="000000"/>
            </w:tcBorders>
            <w:shd w:fill="CCEEFF" w:val="clear"/>
            <w:tcMar>
              <w:bottom w:w="28" w:type="dxa"/>
            </w:tcMar>
            <w:vAlign w:val="center"/>
          </w:tcPr>
          <w:p>
            <w:pPr>
              <w:pStyle w:val="TableContents"/>
              <w:bidi w:val="0"/>
              <w:spacing w:before="0" w:after="283"/>
              <w:jc w:val="right"/>
              <w:rPr/>
            </w:pPr>
            <w:r>
              <w:rPr/>
              <w:t>2,950</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 Accrued Expenses and Other Current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and other current liabilities consist of the following:</w:t>
      </w:r>
    </w:p>
    <w:p>
      <w:pPr>
        <w:pStyle w:val="TextBody"/>
        <w:bidi w:val="0"/>
        <w:spacing w:before="0" w:after="0"/>
        <w:ind w:left="0" w:right="0" w:firstLine="360"/>
        <w:jc w:val="both"/>
        <w:rPr>
          <w:caps w:val="false"/>
          <w:smallCaps w:val="false"/>
        </w:rPr>
      </w:pPr>
      <w:r>
        <w:rPr>
          <w:caps w:val="false"/>
          <w:smallCaps w:val="false"/>
        </w:rPr>
        <w:t> </w:t>
      </w:r>
    </w:p>
    <w:tbl>
      <w:tblPr>
        <w:tblW w:w="5428" w:type="dxa"/>
        <w:jc w:val="left"/>
        <w:tblInd w:w="0" w:type="dxa"/>
        <w:tblLayout w:type="fixed"/>
        <w:tblCellMar>
          <w:top w:w="0" w:type="dxa"/>
          <w:left w:w="0" w:type="dxa"/>
          <w:bottom w:w="0" w:type="dxa"/>
          <w:right w:w="0" w:type="dxa"/>
        </w:tblCellMar>
      </w:tblPr>
      <w:tblGrid>
        <w:gridCol w:w="2615"/>
        <w:gridCol w:w="90"/>
        <w:gridCol w:w="202"/>
        <w:gridCol w:w="702"/>
        <w:gridCol w:w="90"/>
        <w:gridCol w:w="90"/>
        <w:gridCol w:w="336"/>
        <w:gridCol w:w="1168"/>
        <w:gridCol w:w="135"/>
      </w:tblGrid>
      <w:tr>
        <w:trPr/>
        <w:tc>
          <w:tcPr>
            <w:tcW w:w="261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58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w:t>
            </w:r>
          </w:p>
        </w:tc>
        <w:tc>
          <w:tcPr>
            <w:tcW w:w="135" w:type="dxa"/>
            <w:tcBorders/>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5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2025</w:t>
            </w:r>
          </w:p>
        </w:tc>
        <w:tc>
          <w:tcPr>
            <w:tcW w:w="135" w:type="dxa"/>
            <w:tcBorders/>
            <w:vAlign w:val="center"/>
          </w:tcPr>
          <w:p>
            <w:pPr>
              <w:pStyle w:val="TableContents"/>
              <w:bidi w:val="0"/>
              <w:spacing w:before="0" w:after="283"/>
              <w:jc w:val="center"/>
              <w:rPr/>
            </w:pPr>
            <w:r>
              <w:rPr/>
              <w:t> </w:t>
            </w:r>
          </w:p>
        </w:tc>
      </w:tr>
      <w:tr>
        <w:trPr/>
        <w:tc>
          <w:tcPr>
            <w:tcW w:w="2615" w:type="dxa"/>
            <w:tcBorders/>
            <w:shd w:fill="CCEEFF" w:val="clear"/>
            <w:vAlign w:val="center"/>
          </w:tcPr>
          <w:p>
            <w:pPr>
              <w:pStyle w:val="TableContents"/>
              <w:bidi w:val="0"/>
              <w:spacing w:before="0" w:after="283"/>
              <w:jc w:val="left"/>
              <w:rPr/>
            </w:pPr>
            <w:r>
              <w:rPr/>
              <w:t>Research and development</w:t>
            </w:r>
          </w:p>
        </w:tc>
        <w:tc>
          <w:tcPr>
            <w:tcW w:w="9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w:t>
            </w:r>
          </w:p>
        </w:tc>
        <w:tc>
          <w:tcPr>
            <w:tcW w:w="702" w:type="dxa"/>
            <w:tcBorders/>
            <w:shd w:fill="CCEEFF" w:val="clear"/>
            <w:vAlign w:val="center"/>
          </w:tcPr>
          <w:p>
            <w:pPr>
              <w:pStyle w:val="TableContents"/>
              <w:bidi w:val="0"/>
              <w:spacing w:before="0" w:after="283"/>
              <w:jc w:val="right"/>
              <w:rPr/>
            </w:pPr>
            <w:r>
              <w:rPr/>
              <w:t>4,149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36" w:type="dxa"/>
            <w:tcBorders/>
            <w:shd w:fill="CCEEFF" w:val="clear"/>
            <w:vAlign w:val="center"/>
          </w:tcPr>
          <w:p>
            <w:pPr>
              <w:pStyle w:val="TableContents"/>
              <w:bidi w:val="0"/>
              <w:spacing w:before="0" w:after="283"/>
              <w:jc w:val="left"/>
              <w:rPr/>
            </w:pPr>
            <w:r>
              <w:rPr/>
              <w:t>$</w:t>
            </w:r>
          </w:p>
        </w:tc>
        <w:tc>
          <w:tcPr>
            <w:tcW w:w="1168" w:type="dxa"/>
            <w:tcBorders/>
            <w:shd w:fill="CCEEFF" w:val="clear"/>
            <w:vAlign w:val="center"/>
          </w:tcPr>
          <w:p>
            <w:pPr>
              <w:pStyle w:val="TableContents"/>
              <w:bidi w:val="0"/>
              <w:spacing w:before="0" w:after="283"/>
              <w:jc w:val="right"/>
              <w:rPr/>
            </w:pPr>
            <w:r>
              <w:rPr/>
              <w:t>2,683</w:t>
            </w:r>
          </w:p>
        </w:tc>
        <w:tc>
          <w:tcPr>
            <w:tcW w:w="135" w:type="dxa"/>
            <w:tcBorders/>
            <w:shd w:fill="CCEEFF" w:val="clear"/>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283"/>
              <w:jc w:val="left"/>
              <w:rPr/>
            </w:pPr>
            <w:r>
              <w:rPr/>
              <w:t>Employee costs</w:t>
            </w:r>
          </w:p>
        </w:tc>
        <w:tc>
          <w:tcPr>
            <w:tcW w:w="9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702" w:type="dxa"/>
            <w:tcBorders/>
            <w:vAlign w:val="center"/>
          </w:tcPr>
          <w:p>
            <w:pPr>
              <w:pStyle w:val="TableContents"/>
              <w:bidi w:val="0"/>
              <w:spacing w:before="0" w:after="283"/>
              <w:jc w:val="right"/>
              <w:rPr/>
            </w:pPr>
            <w:r>
              <w:rPr/>
              <w:t>2,690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283"/>
              <w:jc w:val="left"/>
              <w:rPr/>
            </w:pPr>
            <w:r>
              <w:rPr/>
              <w:t> </w:t>
            </w:r>
          </w:p>
        </w:tc>
        <w:tc>
          <w:tcPr>
            <w:tcW w:w="1168" w:type="dxa"/>
            <w:tcBorders/>
            <w:vAlign w:val="center"/>
          </w:tcPr>
          <w:p>
            <w:pPr>
              <w:pStyle w:val="TableContents"/>
              <w:bidi w:val="0"/>
              <w:spacing w:before="0" w:after="283"/>
              <w:jc w:val="right"/>
              <w:rPr/>
            </w:pPr>
            <w:r>
              <w:rPr/>
              <w:t>3,267</w:t>
            </w:r>
          </w:p>
        </w:tc>
        <w:tc>
          <w:tcPr>
            <w:tcW w:w="135" w:type="dxa"/>
            <w:tcBorders/>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283"/>
              <w:jc w:val="left"/>
              <w:rPr/>
            </w:pPr>
            <w:r>
              <w:rPr/>
              <w:t>Other expenses</w:t>
            </w:r>
          </w:p>
        </w:tc>
        <w:tc>
          <w:tcPr>
            <w:tcW w:w="90" w:type="dxa"/>
            <w:tcBorders/>
            <w:shd w:fill="CCEEFF" w:val="clear"/>
            <w:vAlign w:val="center"/>
          </w:tcPr>
          <w:p>
            <w:pPr>
              <w:pStyle w:val="TableContents"/>
              <w:bidi w:val="0"/>
              <w:spacing w:before="0" w:after="283"/>
              <w:jc w:val="left"/>
              <w:rPr/>
            </w:pPr>
            <w:r>
              <w:rPr/>
              <w:t> </w:t>
            </w:r>
          </w:p>
        </w:tc>
        <w:tc>
          <w:tcPr>
            <w:tcW w:w="20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02" w:type="dxa"/>
            <w:tcBorders>
              <w:bottom w:val="single" w:sz="12" w:space="0" w:color="000000"/>
            </w:tcBorders>
            <w:shd w:fill="CCEEFF" w:val="clear"/>
            <w:tcMar>
              <w:bottom w:w="28" w:type="dxa"/>
            </w:tcMar>
            <w:vAlign w:val="center"/>
          </w:tcPr>
          <w:p>
            <w:pPr>
              <w:pStyle w:val="TableContents"/>
              <w:bidi w:val="0"/>
              <w:spacing w:before="0" w:after="283"/>
              <w:jc w:val="right"/>
              <w:rPr/>
            </w:pPr>
            <w:r>
              <w:rPr/>
              <w:t>531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3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8" w:type="dxa"/>
            <w:tcBorders>
              <w:bottom w:val="single" w:sz="12" w:space="0" w:color="000000"/>
            </w:tcBorders>
            <w:shd w:fill="CCEEFF" w:val="clear"/>
            <w:tcMar>
              <w:bottom w:w="28" w:type="dxa"/>
            </w:tcMar>
            <w:vAlign w:val="center"/>
          </w:tcPr>
          <w:p>
            <w:pPr>
              <w:pStyle w:val="TableContents"/>
              <w:bidi w:val="0"/>
              <w:spacing w:before="0" w:after="283"/>
              <w:jc w:val="right"/>
              <w:rPr/>
            </w:pPr>
            <w:r>
              <w:rPr/>
              <w:t>279</w:t>
            </w:r>
          </w:p>
        </w:tc>
        <w:tc>
          <w:tcPr>
            <w:tcW w:w="135" w:type="dxa"/>
            <w:tcBorders/>
            <w:shd w:fill="CCEEFF" w:val="clear"/>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283"/>
              <w:jc w:val="left"/>
              <w:rPr/>
            </w:pPr>
            <w:r>
              <w:rPr/>
              <w:t>Total</w:t>
            </w:r>
          </w:p>
        </w:tc>
        <w:tc>
          <w:tcPr>
            <w:tcW w:w="90" w:type="dxa"/>
            <w:tcBorders/>
            <w:vAlign w:val="center"/>
          </w:tcPr>
          <w:p>
            <w:pPr>
              <w:pStyle w:val="TableContents"/>
              <w:bidi w:val="0"/>
              <w:spacing w:before="0" w:after="283"/>
              <w:jc w:val="left"/>
              <w:rPr/>
            </w:pPr>
            <w:r>
              <w:rPr/>
              <w:t> </w:t>
            </w:r>
          </w:p>
        </w:tc>
        <w:tc>
          <w:tcPr>
            <w:tcW w:w="202" w:type="dxa"/>
            <w:tcBorders>
              <w:bottom w:val="double" w:sz="10" w:space="0" w:color="000000"/>
            </w:tcBorders>
            <w:tcMar>
              <w:bottom w:w="28" w:type="dxa"/>
            </w:tcMar>
            <w:vAlign w:val="center"/>
          </w:tcPr>
          <w:p>
            <w:pPr>
              <w:pStyle w:val="TableContents"/>
              <w:bidi w:val="0"/>
              <w:spacing w:before="0" w:after="283"/>
              <w:jc w:val="left"/>
              <w:rPr/>
            </w:pPr>
            <w:r>
              <w:rPr/>
              <w:t>$</w:t>
            </w:r>
          </w:p>
        </w:tc>
        <w:tc>
          <w:tcPr>
            <w:tcW w:w="702" w:type="dxa"/>
            <w:tcBorders>
              <w:bottom w:val="double" w:sz="10" w:space="0" w:color="000000"/>
            </w:tcBorders>
            <w:tcMar>
              <w:bottom w:w="28" w:type="dxa"/>
            </w:tcMar>
            <w:vAlign w:val="center"/>
          </w:tcPr>
          <w:p>
            <w:pPr>
              <w:pStyle w:val="TableContents"/>
              <w:bidi w:val="0"/>
              <w:spacing w:before="0" w:after="283"/>
              <w:jc w:val="right"/>
              <w:rPr/>
            </w:pPr>
            <w:r>
              <w:rPr/>
              <w:t>7,370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36" w:type="dxa"/>
            <w:tcBorders>
              <w:bottom w:val="double" w:sz="10" w:space="0" w:color="000000"/>
            </w:tcBorders>
            <w:tcMar>
              <w:bottom w:w="28" w:type="dxa"/>
            </w:tcMar>
            <w:vAlign w:val="center"/>
          </w:tcPr>
          <w:p>
            <w:pPr>
              <w:pStyle w:val="TableContents"/>
              <w:bidi w:val="0"/>
              <w:spacing w:before="0" w:after="283"/>
              <w:jc w:val="left"/>
              <w:rPr/>
            </w:pPr>
            <w:r>
              <w:rPr/>
              <w:t>$</w:t>
            </w:r>
          </w:p>
        </w:tc>
        <w:tc>
          <w:tcPr>
            <w:tcW w:w="1168" w:type="dxa"/>
            <w:tcBorders>
              <w:bottom w:val="double" w:sz="10" w:space="0" w:color="000000"/>
            </w:tcBorders>
            <w:tcMar>
              <w:bottom w:w="28" w:type="dxa"/>
            </w:tcMar>
            <w:vAlign w:val="center"/>
          </w:tcPr>
          <w:p>
            <w:pPr>
              <w:pStyle w:val="TableContents"/>
              <w:bidi w:val="0"/>
              <w:spacing w:before="0" w:after="283"/>
              <w:jc w:val="right"/>
              <w:rPr/>
            </w:pPr>
            <w:r>
              <w:rPr/>
              <w:t>6,229</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Leases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Operating leases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Leases classified as operating leases are included in operating lease right-of-use, or ROU, assets, operating lease liabilities and operating lease liabilities, non-current, in the Company’s condensed consolidated balance sheets. Cash paid for operating lease liabilities during the six months ended June 30, 2026 and 2025 was $715 and $681,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expense consists of the following:</w:t>
      </w:r>
    </w:p>
    <w:p>
      <w:pPr>
        <w:pStyle w:val="TextBody"/>
        <w:bidi w:val="0"/>
        <w:spacing w:before="0" w:after="0"/>
        <w:ind w:left="0" w:right="0" w:firstLine="360"/>
        <w:jc w:val="both"/>
        <w:rPr>
          <w:caps w:val="false"/>
          <w:smallCaps w:val="false"/>
        </w:rPr>
      </w:pPr>
      <w:r>
        <w:rPr>
          <w:caps w:val="false"/>
          <w:smallCaps w:val="false"/>
        </w:rPr>
        <w:t> </w:t>
      </w:r>
    </w:p>
    <w:tbl>
      <w:tblPr>
        <w:tblW w:w="8557" w:type="dxa"/>
        <w:jc w:val="left"/>
        <w:tblInd w:w="0" w:type="dxa"/>
        <w:tblLayout w:type="fixed"/>
        <w:tblCellMar>
          <w:top w:w="0" w:type="dxa"/>
          <w:left w:w="0" w:type="dxa"/>
          <w:bottom w:w="0" w:type="dxa"/>
          <w:right w:w="0" w:type="dxa"/>
        </w:tblCellMar>
      </w:tblPr>
      <w:tblGrid>
        <w:gridCol w:w="2360"/>
        <w:gridCol w:w="90"/>
        <w:gridCol w:w="386"/>
        <w:gridCol w:w="933"/>
        <w:gridCol w:w="204"/>
        <w:gridCol w:w="204"/>
        <w:gridCol w:w="386"/>
        <w:gridCol w:w="933"/>
        <w:gridCol w:w="90"/>
        <w:gridCol w:w="90"/>
        <w:gridCol w:w="348"/>
        <w:gridCol w:w="841"/>
        <w:gridCol w:w="184"/>
        <w:gridCol w:w="184"/>
        <w:gridCol w:w="348"/>
        <w:gridCol w:w="841"/>
        <w:gridCol w:w="135"/>
      </w:tblGrid>
      <w:tr>
        <w:trPr/>
        <w:tc>
          <w:tcPr>
            <w:tcW w:w="236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304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Three Months Ended</w:t>
              <w:br/>
              <w:t>June 30,</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274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Six Months Ended</w:t>
              <w:br/>
              <w:t>June 30,</w:t>
            </w:r>
          </w:p>
        </w:tc>
        <w:tc>
          <w:tcPr>
            <w:tcW w:w="135" w:type="dxa"/>
            <w:tcBorders/>
            <w:vAlign w:val="center"/>
          </w:tcPr>
          <w:p>
            <w:pPr>
              <w:pStyle w:val="TableContents"/>
              <w:bidi w:val="0"/>
              <w:spacing w:before="0" w:after="283"/>
              <w:jc w:val="center"/>
              <w:rPr/>
            </w:pPr>
            <w:r>
              <w:rPr/>
              <w:t> </w:t>
            </w:r>
          </w:p>
        </w:tc>
      </w:tr>
      <w:tr>
        <w:trPr/>
        <w:tc>
          <w:tcPr>
            <w:tcW w:w="23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1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204"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31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84"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18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35" w:type="dxa"/>
            <w:tcBorders/>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283"/>
              <w:jc w:val="left"/>
              <w:rPr/>
            </w:pPr>
            <w:r>
              <w:rPr/>
              <w:t>Operating lease expense</w:t>
            </w:r>
          </w:p>
        </w:tc>
        <w:tc>
          <w:tcPr>
            <w:tcW w:w="90" w:type="dxa"/>
            <w:tcBorders/>
            <w:shd w:fill="CCEEFF" w:val="clear"/>
            <w:vAlign w:val="center"/>
          </w:tcPr>
          <w:p>
            <w:pPr>
              <w:pStyle w:val="TableContents"/>
              <w:bidi w:val="0"/>
              <w:spacing w:before="0" w:after="283"/>
              <w:jc w:val="left"/>
              <w:rPr/>
            </w:pPr>
            <w:r>
              <w:rPr/>
              <w:t> </w:t>
            </w:r>
          </w:p>
        </w:tc>
        <w:tc>
          <w:tcPr>
            <w:tcW w:w="386"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933" w:type="dxa"/>
            <w:tcBorders>
              <w:bottom w:val="single" w:sz="12" w:space="0" w:color="000000"/>
            </w:tcBorders>
            <w:shd w:fill="CCEEFF" w:val="clear"/>
            <w:tcMar>
              <w:bottom w:w="28" w:type="dxa"/>
            </w:tcMar>
            <w:vAlign w:val="center"/>
          </w:tcPr>
          <w:p>
            <w:pPr>
              <w:pStyle w:val="TableContents"/>
              <w:bidi w:val="0"/>
              <w:spacing w:before="0" w:after="283"/>
              <w:jc w:val="right"/>
              <w:rPr/>
            </w:pPr>
            <w:r>
              <w:rPr/>
              <w:t>338</w:t>
            </w:r>
          </w:p>
        </w:tc>
        <w:tc>
          <w:tcPr>
            <w:tcW w:w="204"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386"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933" w:type="dxa"/>
            <w:tcBorders>
              <w:bottom w:val="single" w:sz="12" w:space="0" w:color="000000"/>
            </w:tcBorders>
            <w:shd w:fill="CCEEFF" w:val="clear"/>
            <w:tcMar>
              <w:bottom w:w="28" w:type="dxa"/>
            </w:tcMar>
            <w:vAlign w:val="center"/>
          </w:tcPr>
          <w:p>
            <w:pPr>
              <w:pStyle w:val="TableContents"/>
              <w:bidi w:val="0"/>
              <w:spacing w:before="0" w:after="283"/>
              <w:jc w:val="right"/>
              <w:rPr/>
            </w:pPr>
            <w:r>
              <w:rPr/>
              <w:t>338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48"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41" w:type="dxa"/>
            <w:tcBorders>
              <w:bottom w:val="single" w:sz="12" w:space="0" w:color="000000"/>
            </w:tcBorders>
            <w:shd w:fill="CCEEFF" w:val="clear"/>
            <w:tcMar>
              <w:bottom w:w="28" w:type="dxa"/>
            </w:tcMar>
            <w:vAlign w:val="center"/>
          </w:tcPr>
          <w:p>
            <w:pPr>
              <w:pStyle w:val="TableContents"/>
              <w:bidi w:val="0"/>
              <w:spacing w:before="0" w:after="283"/>
              <w:jc w:val="right"/>
              <w:rPr/>
            </w:pPr>
            <w:r>
              <w:rPr/>
              <w:t>676</w:t>
            </w:r>
          </w:p>
        </w:tc>
        <w:tc>
          <w:tcPr>
            <w:tcW w:w="184"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348"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41" w:type="dxa"/>
            <w:tcBorders>
              <w:bottom w:val="single" w:sz="12" w:space="0" w:color="000000"/>
            </w:tcBorders>
            <w:shd w:fill="CCEEFF" w:val="clear"/>
            <w:tcMar>
              <w:bottom w:w="28" w:type="dxa"/>
            </w:tcMar>
            <w:vAlign w:val="center"/>
          </w:tcPr>
          <w:p>
            <w:pPr>
              <w:pStyle w:val="TableContents"/>
              <w:bidi w:val="0"/>
              <w:spacing w:before="0" w:after="283"/>
              <w:jc w:val="right"/>
              <w:rPr/>
            </w:pPr>
            <w:r>
              <w:rPr/>
              <w:t>676</w:t>
            </w:r>
          </w:p>
        </w:tc>
        <w:tc>
          <w:tcPr>
            <w:tcW w:w="135" w:type="dxa"/>
            <w:tcBorders/>
            <w:shd w:fill="CCEEFF" w:val="clear"/>
            <w:vAlign w:val="center"/>
          </w:tcPr>
          <w:p>
            <w:pPr>
              <w:pStyle w:val="TableContents"/>
              <w:bidi w:val="0"/>
              <w:spacing w:before="0" w:after="283"/>
              <w:jc w:val="left"/>
              <w:rPr/>
            </w:pPr>
            <w:r>
              <w:rPr/>
              <w:t> </w:t>
            </w:r>
          </w:p>
        </w:tc>
      </w:tr>
      <w:tr>
        <w:trPr/>
        <w:tc>
          <w:tcPr>
            <w:tcW w:w="2360" w:type="dxa"/>
            <w:tcBorders/>
            <w:vAlign w:val="center"/>
          </w:tcPr>
          <w:p>
            <w:pPr>
              <w:pStyle w:val="TableContents"/>
              <w:bidi w:val="0"/>
              <w:spacing w:before="0" w:after="283"/>
              <w:jc w:val="left"/>
              <w:rPr/>
            </w:pPr>
            <w:r>
              <w:rPr/>
              <w:t>Total</w:t>
            </w:r>
          </w:p>
        </w:tc>
        <w:tc>
          <w:tcPr>
            <w:tcW w:w="90" w:type="dxa"/>
            <w:tcBorders/>
            <w:vAlign w:val="center"/>
          </w:tcPr>
          <w:p>
            <w:pPr>
              <w:pStyle w:val="TableContents"/>
              <w:bidi w:val="0"/>
              <w:spacing w:before="0" w:after="283"/>
              <w:jc w:val="left"/>
              <w:rPr/>
            </w:pPr>
            <w:r>
              <w:rPr/>
              <w:t> </w:t>
            </w:r>
          </w:p>
        </w:tc>
        <w:tc>
          <w:tcPr>
            <w:tcW w:w="386" w:type="dxa"/>
            <w:tcBorders>
              <w:bottom w:val="double" w:sz="10" w:space="0" w:color="000000"/>
            </w:tcBorders>
            <w:tcMar>
              <w:bottom w:w="28" w:type="dxa"/>
            </w:tcMar>
            <w:vAlign w:val="center"/>
          </w:tcPr>
          <w:p>
            <w:pPr>
              <w:pStyle w:val="TableContents"/>
              <w:bidi w:val="0"/>
              <w:spacing w:before="0" w:after="283"/>
              <w:jc w:val="left"/>
              <w:rPr/>
            </w:pPr>
            <w:r>
              <w:rPr/>
              <w:t>$</w:t>
            </w:r>
          </w:p>
        </w:tc>
        <w:tc>
          <w:tcPr>
            <w:tcW w:w="933" w:type="dxa"/>
            <w:tcBorders>
              <w:bottom w:val="double" w:sz="10" w:space="0" w:color="000000"/>
            </w:tcBorders>
            <w:tcMar>
              <w:bottom w:w="28" w:type="dxa"/>
            </w:tcMar>
            <w:vAlign w:val="center"/>
          </w:tcPr>
          <w:p>
            <w:pPr>
              <w:pStyle w:val="TableContents"/>
              <w:bidi w:val="0"/>
              <w:spacing w:before="0" w:after="283"/>
              <w:jc w:val="right"/>
              <w:rPr/>
            </w:pPr>
            <w:r>
              <w:rPr/>
              <w:t>338</w:t>
            </w:r>
          </w:p>
        </w:tc>
        <w:tc>
          <w:tcPr>
            <w:tcW w:w="204"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386" w:type="dxa"/>
            <w:tcBorders>
              <w:bottom w:val="double" w:sz="10" w:space="0" w:color="000000"/>
            </w:tcBorders>
            <w:tcMar>
              <w:bottom w:w="28" w:type="dxa"/>
            </w:tcMar>
            <w:vAlign w:val="center"/>
          </w:tcPr>
          <w:p>
            <w:pPr>
              <w:pStyle w:val="TableContents"/>
              <w:bidi w:val="0"/>
              <w:spacing w:before="0" w:after="283"/>
              <w:jc w:val="left"/>
              <w:rPr/>
            </w:pPr>
            <w:r>
              <w:rPr/>
              <w:t>$</w:t>
            </w:r>
          </w:p>
        </w:tc>
        <w:tc>
          <w:tcPr>
            <w:tcW w:w="933" w:type="dxa"/>
            <w:tcBorders>
              <w:bottom w:val="double" w:sz="10" w:space="0" w:color="000000"/>
            </w:tcBorders>
            <w:tcMar>
              <w:bottom w:w="28" w:type="dxa"/>
            </w:tcMar>
            <w:vAlign w:val="center"/>
          </w:tcPr>
          <w:p>
            <w:pPr>
              <w:pStyle w:val="TableContents"/>
              <w:bidi w:val="0"/>
              <w:spacing w:before="0" w:after="283"/>
              <w:jc w:val="right"/>
              <w:rPr/>
            </w:pPr>
            <w:r>
              <w:rPr/>
              <w:t>338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48" w:type="dxa"/>
            <w:tcBorders>
              <w:bottom w:val="double" w:sz="10" w:space="0" w:color="000000"/>
            </w:tcBorders>
            <w:tcMar>
              <w:bottom w:w="28" w:type="dxa"/>
            </w:tcMar>
            <w:vAlign w:val="center"/>
          </w:tcPr>
          <w:p>
            <w:pPr>
              <w:pStyle w:val="TableContents"/>
              <w:bidi w:val="0"/>
              <w:spacing w:before="0" w:after="283"/>
              <w:jc w:val="left"/>
              <w:rPr/>
            </w:pPr>
            <w:r>
              <w:rPr/>
              <w:t>$</w:t>
            </w:r>
          </w:p>
        </w:tc>
        <w:tc>
          <w:tcPr>
            <w:tcW w:w="841" w:type="dxa"/>
            <w:tcBorders>
              <w:bottom w:val="double" w:sz="10" w:space="0" w:color="000000"/>
            </w:tcBorders>
            <w:tcMar>
              <w:bottom w:w="28" w:type="dxa"/>
            </w:tcMar>
            <w:vAlign w:val="center"/>
          </w:tcPr>
          <w:p>
            <w:pPr>
              <w:pStyle w:val="TableContents"/>
              <w:bidi w:val="0"/>
              <w:spacing w:before="0" w:after="283"/>
              <w:jc w:val="right"/>
              <w:rPr/>
            </w:pPr>
            <w:r>
              <w:rPr/>
              <w:t>676</w:t>
            </w:r>
          </w:p>
        </w:tc>
        <w:tc>
          <w:tcPr>
            <w:tcW w:w="184"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348" w:type="dxa"/>
            <w:tcBorders>
              <w:bottom w:val="double" w:sz="10" w:space="0" w:color="000000"/>
            </w:tcBorders>
            <w:tcMar>
              <w:bottom w:w="28" w:type="dxa"/>
            </w:tcMar>
            <w:vAlign w:val="center"/>
          </w:tcPr>
          <w:p>
            <w:pPr>
              <w:pStyle w:val="TableContents"/>
              <w:bidi w:val="0"/>
              <w:spacing w:before="0" w:after="283"/>
              <w:jc w:val="left"/>
              <w:rPr/>
            </w:pPr>
            <w:r>
              <w:rPr/>
              <w:t>$</w:t>
            </w:r>
          </w:p>
        </w:tc>
        <w:tc>
          <w:tcPr>
            <w:tcW w:w="841" w:type="dxa"/>
            <w:tcBorders>
              <w:bottom w:val="double" w:sz="10" w:space="0" w:color="000000"/>
            </w:tcBorders>
            <w:tcMar>
              <w:bottom w:w="28" w:type="dxa"/>
            </w:tcMar>
            <w:vAlign w:val="center"/>
          </w:tcPr>
          <w:p>
            <w:pPr>
              <w:pStyle w:val="TableContents"/>
              <w:bidi w:val="0"/>
              <w:spacing w:before="0" w:after="283"/>
              <w:jc w:val="right"/>
              <w:rPr/>
            </w:pPr>
            <w:r>
              <w:rPr/>
              <w:t>676</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Variable lease expense for the three months ended June 30, 2026 and 2025 was $34 and $31, respectively. Variable lease expenses for the six months ended June 30, 2026 and 2025 were $66 and $62, respectively.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weighted average discount rate and weighted-average remaining lease term for operating leases were:</w:t>
      </w:r>
    </w:p>
    <w:p>
      <w:pPr>
        <w:pStyle w:val="TextBody"/>
        <w:bidi w:val="0"/>
        <w:spacing w:before="0" w:after="0"/>
        <w:ind w:left="0" w:right="0" w:firstLine="360"/>
        <w:jc w:val="both"/>
        <w:rPr>
          <w:caps w:val="false"/>
          <w:smallCaps w:val="false"/>
        </w:rPr>
      </w:pPr>
      <w:r>
        <w:rPr>
          <w:caps w:val="false"/>
          <w:smallCaps w:val="false"/>
        </w:rPr>
        <w:t> </w:t>
      </w:r>
    </w:p>
    <w:tbl>
      <w:tblPr>
        <w:tblW w:w="7874" w:type="dxa"/>
        <w:jc w:val="left"/>
        <w:tblInd w:w="0" w:type="dxa"/>
        <w:tblLayout w:type="fixed"/>
        <w:tblCellMar>
          <w:top w:w="0" w:type="dxa"/>
          <w:left w:w="0" w:type="dxa"/>
          <w:bottom w:w="0" w:type="dxa"/>
          <w:right w:w="0" w:type="dxa"/>
        </w:tblCellMar>
      </w:tblPr>
      <w:tblGrid>
        <w:gridCol w:w="6590"/>
        <w:gridCol w:w="90"/>
        <w:gridCol w:w="184"/>
        <w:gridCol w:w="720"/>
        <w:gridCol w:w="290"/>
      </w:tblGrid>
      <w:tr>
        <w:trPr/>
        <w:tc>
          <w:tcPr>
            <w:tcW w:w="65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of</w:t>
              <w:br/>
              <w:t>June 30,</w:t>
              <w:br/>
              <w:t>2026</w:t>
            </w:r>
          </w:p>
        </w:tc>
        <w:tc>
          <w:tcPr>
            <w:tcW w:w="290" w:type="dxa"/>
            <w:tcBorders/>
            <w:vAlign w:val="center"/>
          </w:tcPr>
          <w:p>
            <w:pPr>
              <w:pStyle w:val="TableContents"/>
              <w:bidi w:val="0"/>
              <w:spacing w:before="0" w:after="283"/>
              <w:jc w:val="left"/>
              <w:rPr/>
            </w:pPr>
            <w:r>
              <w:rPr/>
              <w:t> </w:t>
            </w:r>
          </w:p>
        </w:tc>
      </w:tr>
      <w:tr>
        <w:trPr/>
        <w:tc>
          <w:tcPr>
            <w:tcW w:w="6590" w:type="dxa"/>
            <w:tcBorders/>
            <w:shd w:fill="CCEEFF" w:val="clear"/>
            <w:vAlign w:val="center"/>
          </w:tcPr>
          <w:p>
            <w:pPr>
              <w:pStyle w:val="TableContents"/>
              <w:bidi w:val="0"/>
              <w:spacing w:before="0" w:after="283"/>
              <w:jc w:val="left"/>
              <w:rPr/>
            </w:pPr>
            <w:r>
              <w:rPr/>
              <w:t>Weighted-average discount rate</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720" w:type="dxa"/>
            <w:tcBorders/>
            <w:shd w:fill="CCEEFF" w:val="clear"/>
            <w:vAlign w:val="center"/>
          </w:tcPr>
          <w:p>
            <w:pPr>
              <w:pStyle w:val="TableContents"/>
              <w:bidi w:val="0"/>
              <w:spacing w:before="0" w:after="283"/>
              <w:jc w:val="right"/>
              <w:rPr/>
            </w:pPr>
            <w:r>
              <w:rPr/>
              <w:t>7.0</w:t>
            </w:r>
          </w:p>
        </w:tc>
        <w:tc>
          <w:tcPr>
            <w:tcW w:w="290" w:type="dxa"/>
            <w:tcBorders/>
            <w:shd w:fill="CCEEFF" w:val="clear"/>
            <w:vAlign w:val="center"/>
          </w:tcPr>
          <w:p>
            <w:pPr>
              <w:pStyle w:val="TableContents"/>
              <w:bidi w:val="0"/>
              <w:spacing w:before="0" w:after="283"/>
              <w:jc w:val="left"/>
              <w:rPr/>
            </w:pPr>
            <w:r>
              <w:rPr/>
              <w:t>%</w:t>
            </w:r>
          </w:p>
        </w:tc>
      </w:tr>
      <w:tr>
        <w:trPr/>
        <w:tc>
          <w:tcPr>
            <w:tcW w:w="6590" w:type="dxa"/>
            <w:tcBorders/>
            <w:vAlign w:val="center"/>
          </w:tcPr>
          <w:p>
            <w:pPr>
              <w:pStyle w:val="TableContents"/>
              <w:bidi w:val="0"/>
              <w:spacing w:before="0" w:after="283"/>
              <w:jc w:val="left"/>
              <w:rPr/>
            </w:pPr>
            <w:r>
              <w:rPr/>
              <w:t>Weighted-average remaining lease term – operating lease (in months)</w:t>
            </w:r>
          </w:p>
        </w:tc>
        <w:tc>
          <w:tcPr>
            <w:tcW w:w="9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720" w:type="dxa"/>
            <w:tcBorders/>
            <w:vAlign w:val="center"/>
          </w:tcPr>
          <w:p>
            <w:pPr>
              <w:pStyle w:val="TableContents"/>
              <w:bidi w:val="0"/>
              <w:spacing w:before="0" w:after="283"/>
              <w:jc w:val="right"/>
              <w:rPr/>
            </w:pPr>
            <w:r>
              <w:rPr/>
              <w:t>25</w:t>
            </w:r>
          </w:p>
        </w:tc>
        <w:tc>
          <w:tcPr>
            <w:tcW w:w="2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Protara Therapeutics,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(amounts in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expected annual minimum lease payments of the Company’s operating lease liabilities were as follows:</w:t>
      </w:r>
    </w:p>
    <w:p>
      <w:pPr>
        <w:pStyle w:val="TextBody"/>
        <w:bidi w:val="0"/>
        <w:spacing w:before="0" w:after="0"/>
        <w:ind w:left="0" w:right="0" w:hanging="0"/>
        <w:jc w:val="both"/>
        <w:rPr>
          <w:caps w:val="false"/>
          <w:smallCaps w:val="false"/>
        </w:rPr>
      </w:pPr>
      <w:r>
        <w:rPr>
          <w:caps w:val="false"/>
          <w:smallCaps w:val="false"/>
        </w:rPr>
        <w:t> </w:t>
      </w:r>
    </w:p>
    <w:tbl>
      <w:tblPr>
        <w:tblW w:w="6445" w:type="dxa"/>
        <w:jc w:val="left"/>
        <w:tblInd w:w="0" w:type="dxa"/>
        <w:tblLayout w:type="fixed"/>
        <w:tblCellMar>
          <w:top w:w="0" w:type="dxa"/>
          <w:left w:w="0" w:type="dxa"/>
          <w:bottom w:w="28" w:type="dxa"/>
          <w:right w:w="0" w:type="dxa"/>
        </w:tblCellMar>
      </w:tblPr>
      <w:tblGrid>
        <w:gridCol w:w="5135"/>
        <w:gridCol w:w="90"/>
        <w:gridCol w:w="242"/>
        <w:gridCol w:w="843"/>
        <w:gridCol w:w="135"/>
      </w:tblGrid>
      <w:tr>
        <w:trPr/>
        <w:tc>
          <w:tcPr>
            <w:tcW w:w="5135" w:type="dxa"/>
            <w:tcBorders>
              <w:bottom w:val="single" w:sz="12" w:space="0" w:color="000000"/>
            </w:tcBorders>
            <w:vAlign w:val="center"/>
          </w:tcPr>
          <w:p>
            <w:pPr>
              <w:pStyle w:val="TableContents"/>
              <w:bidi w:val="0"/>
              <w:spacing w:before="0" w:after="283"/>
              <w:jc w:val="left"/>
              <w:rPr>
                <w:b/>
              </w:rPr>
            </w:pPr>
            <w:r>
              <w:rPr>
                <w:b/>
              </w:rPr>
              <w:t>For the year ending December 31:</w:t>
            </w:r>
          </w:p>
        </w:tc>
        <w:tc>
          <w:tcPr>
            <w:tcW w:w="90" w:type="dxa"/>
            <w:tcBorders/>
            <w:tcMar>
              <w:bottom w:w="0" w:type="dxa"/>
            </w:tcMar>
            <w:vAlign w:val="center"/>
          </w:tcPr>
          <w:p>
            <w:pPr>
              <w:pStyle w:val="TableContents"/>
              <w:bidi w:val="0"/>
              <w:spacing w:before="0" w:after="283"/>
              <w:jc w:val="left"/>
              <w:rPr/>
            </w:pPr>
            <w:r>
              <w:rPr/>
              <w:t> </w:t>
            </w:r>
          </w:p>
        </w:tc>
        <w:tc>
          <w:tcPr>
            <w:tcW w:w="1085" w:type="dxa"/>
            <w:gridSpan w:val="2"/>
            <w:tcBorders>
              <w:bottom w:val="single" w:sz="12" w:space="0" w:color="000000"/>
            </w:tcBorders>
            <w:vAlign w:val="center"/>
          </w:tcPr>
          <w:p>
            <w:pPr>
              <w:pStyle w:val="TableContents"/>
              <w:bidi w:val="0"/>
              <w:spacing w:before="0" w:after="283"/>
              <w:jc w:val="center"/>
              <w:rPr>
                <w:b/>
              </w:rPr>
            </w:pPr>
            <w:r>
              <w:rPr>
                <w:b/>
              </w:rPr>
              <w:t>Operating</w:t>
              <w:br/>
              <w:t>Lease</w:t>
              <w:br/>
              <w:t>Payments</w:t>
            </w:r>
          </w:p>
        </w:tc>
        <w:tc>
          <w:tcPr>
            <w:tcW w:w="135" w:type="dxa"/>
            <w:tcBorders/>
            <w:tcMar>
              <w:bottom w:w="0" w:type="dxa"/>
            </w:tcMar>
            <w:vAlign w:val="center"/>
          </w:tcPr>
          <w:p>
            <w:pPr>
              <w:pStyle w:val="TableContents"/>
              <w:bidi w:val="0"/>
              <w:spacing w:before="0" w:after="283"/>
              <w:jc w:val="left"/>
              <w:rPr/>
            </w:pPr>
            <w:r>
              <w:rPr/>
              <w:t> </w:t>
            </w:r>
          </w:p>
        </w:tc>
      </w:tr>
      <w:tr>
        <w:trPr/>
        <w:tc>
          <w:tcPr>
            <w:tcW w:w="5135" w:type="dxa"/>
            <w:tcBorders/>
            <w:shd w:fill="CCEEFF" w:val="clear"/>
            <w:tcMar>
              <w:bottom w:w="0" w:type="dxa"/>
            </w:tcMar>
            <w:vAlign w:val="center"/>
          </w:tcPr>
          <w:p>
            <w:pPr>
              <w:pStyle w:val="TableContents"/>
              <w:bidi w:val="0"/>
              <w:spacing w:before="0" w:after="283"/>
              <w:jc w:val="both"/>
              <w:rPr/>
            </w:pPr>
            <w:r>
              <w:rPr/>
              <w:t>2026 (excluding the six months ended June 30, 2026)</w:t>
            </w:r>
          </w:p>
        </w:tc>
        <w:tc>
          <w:tcPr>
            <w:tcW w:w="90" w:type="dxa"/>
            <w:tcBorders/>
            <w:shd w:fill="CCEEFF" w:val="clear"/>
            <w:tcMar>
              <w:bottom w:w="0" w:type="dxa"/>
            </w:tcMar>
            <w:vAlign w:val="center"/>
          </w:tcPr>
          <w:p>
            <w:pPr>
              <w:pStyle w:val="TableContents"/>
              <w:bidi w:val="0"/>
              <w:spacing w:before="0" w:after="283"/>
              <w:jc w:val="left"/>
              <w:rPr/>
            </w:pPr>
            <w:r>
              <w:rPr/>
              <w:t> </w:t>
            </w:r>
          </w:p>
        </w:tc>
        <w:tc>
          <w:tcPr>
            <w:tcW w:w="242" w:type="dxa"/>
            <w:tcBorders/>
            <w:shd w:fill="CCEEFF" w:val="clear"/>
            <w:tcMar>
              <w:bottom w:w="0" w:type="dxa"/>
            </w:tcMar>
            <w:vAlign w:val="center"/>
          </w:tcPr>
          <w:p>
            <w:pPr>
              <w:pStyle w:val="TableContents"/>
              <w:bidi w:val="0"/>
              <w:spacing w:before="0" w:after="283"/>
              <w:jc w:val="left"/>
              <w:rPr/>
            </w:pPr>
            <w:r>
              <w:rPr/>
              <w:t>$</w:t>
            </w:r>
          </w:p>
        </w:tc>
        <w:tc>
          <w:tcPr>
            <w:tcW w:w="843" w:type="dxa"/>
            <w:tcBorders/>
            <w:shd w:fill="CCEEFF" w:val="clear"/>
            <w:tcMar>
              <w:bottom w:w="0" w:type="dxa"/>
            </w:tcMar>
            <w:vAlign w:val="center"/>
          </w:tcPr>
          <w:p>
            <w:pPr>
              <w:pStyle w:val="TableContents"/>
              <w:bidi w:val="0"/>
              <w:spacing w:before="0" w:after="283"/>
              <w:jc w:val="right"/>
              <w:rPr/>
            </w:pPr>
            <w:r>
              <w:rPr/>
              <w:t>715</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5135" w:type="dxa"/>
            <w:tcBorders/>
            <w:tcMar>
              <w:bottom w:w="0" w:type="dxa"/>
            </w:tcMar>
            <w:vAlign w:val="center"/>
          </w:tcPr>
          <w:p>
            <w:pPr>
              <w:pStyle w:val="TableContents"/>
              <w:bidi w:val="0"/>
              <w:spacing w:before="0" w:after="283"/>
              <w:jc w:val="both"/>
              <w:rPr/>
            </w:pPr>
            <w:r>
              <w:rPr/>
              <w:t>2027</w:t>
            </w:r>
          </w:p>
        </w:tc>
        <w:tc>
          <w:tcPr>
            <w:tcW w:w="90" w:type="dxa"/>
            <w:tcBorders/>
            <w:tcMar>
              <w:bottom w:w="0" w:type="dxa"/>
            </w:tcMar>
            <w:vAlign w:val="center"/>
          </w:tcPr>
          <w:p>
            <w:pPr>
              <w:pStyle w:val="TableContents"/>
              <w:bidi w:val="0"/>
              <w:spacing w:before="0" w:after="283"/>
              <w:jc w:val="left"/>
              <w:rPr/>
            </w:pPr>
            <w:r>
              <w:rPr/>
              <w:t> </w:t>
            </w:r>
          </w:p>
        </w:tc>
        <w:tc>
          <w:tcPr>
            <w:tcW w:w="242" w:type="dxa"/>
            <w:tcBorders/>
            <w:tcMar>
              <w:bottom w:w="0" w:type="dxa"/>
            </w:tcMar>
            <w:vAlign w:val="center"/>
          </w:tcPr>
          <w:p>
            <w:pPr>
              <w:pStyle w:val="TableContents"/>
              <w:bidi w:val="0"/>
              <w:spacing w:before="0" w:after="283"/>
              <w:jc w:val="left"/>
              <w:rPr/>
            </w:pPr>
            <w:r>
              <w:rPr/>
              <w:t> </w:t>
            </w:r>
          </w:p>
        </w:tc>
        <w:tc>
          <w:tcPr>
            <w:tcW w:w="843" w:type="dxa"/>
            <w:tcBorders/>
            <w:tcMar>
              <w:bottom w:w="0" w:type="dxa"/>
            </w:tcMar>
            <w:vAlign w:val="center"/>
          </w:tcPr>
          <w:p>
            <w:pPr>
              <w:pStyle w:val="TableContents"/>
              <w:bidi w:val="0"/>
              <w:spacing w:before="0" w:after="283"/>
              <w:jc w:val="right"/>
              <w:rPr/>
            </w:pPr>
            <w:r>
              <w:rPr/>
              <w:t>1,429</w:t>
            </w:r>
          </w:p>
        </w:tc>
        <w:tc>
          <w:tcPr>
            <w:tcW w:w="135" w:type="dxa"/>
            <w:tcBorders/>
            <w:tcMar>
              <w:bottom w:w="0" w:type="dxa"/>
            </w:tcMar>
            <w:vAlign w:val="center"/>
          </w:tcPr>
          <w:p>
            <w:pPr>
              <w:pStyle w:val="TableContents"/>
              <w:bidi w:val="0"/>
              <w:spacing w:before="0" w:after="283"/>
              <w:jc w:val="left"/>
              <w:rPr/>
            </w:pPr>
            <w:r>
              <w:rPr/>
              <w:t> </w:t>
            </w:r>
          </w:p>
        </w:tc>
      </w:tr>
      <w:tr>
        <w:trPr/>
        <w:tc>
          <w:tcPr>
            <w:tcW w:w="5135" w:type="dxa"/>
            <w:tcBorders/>
            <w:shd w:fill="CCEEFF" w:val="clear"/>
            <w:tcMar>
              <w:bottom w:w="0" w:type="dxa"/>
            </w:tcMar>
            <w:vAlign w:val="center"/>
          </w:tcPr>
          <w:p>
            <w:pPr>
              <w:pStyle w:val="TableContents"/>
              <w:bidi w:val="0"/>
              <w:spacing w:before="0" w:after="283"/>
              <w:jc w:val="both"/>
              <w:rPr/>
            </w:pPr>
            <w:r>
              <w:rPr/>
              <w:t>2028</w:t>
            </w:r>
          </w:p>
        </w:tc>
        <w:tc>
          <w:tcPr>
            <w:tcW w:w="90" w:type="dxa"/>
            <w:tcBorders/>
            <w:shd w:fill="CCEEFF" w:val="clear"/>
            <w:tcMar>
              <w:bottom w:w="0" w:type="dxa"/>
            </w:tcMar>
            <w:vAlign w:val="center"/>
          </w:tcPr>
          <w:p>
            <w:pPr>
              <w:pStyle w:val="TableContents"/>
              <w:bidi w:val="0"/>
              <w:spacing w:before="0" w:after="283"/>
              <w:jc w:val="left"/>
              <w:rPr/>
            </w:pPr>
            <w:r>
              <w:rPr/>
              <w:t> </w:t>
            </w:r>
          </w:p>
        </w:tc>
        <w:tc>
          <w:tcPr>
            <w:tcW w:w="242" w:type="dxa"/>
            <w:tcBorders/>
            <w:shd w:fill="CCEEFF" w:val="clear"/>
            <w:tcMar>
              <w:bottom w:w="0" w:type="dxa"/>
            </w:tcMar>
            <w:vAlign w:val="center"/>
          </w:tcPr>
          <w:p>
            <w:pPr>
              <w:pStyle w:val="TableContents"/>
              <w:bidi w:val="0"/>
              <w:spacing w:before="0" w:after="283"/>
              <w:jc w:val="left"/>
              <w:rPr/>
            </w:pPr>
            <w:r>
              <w:rPr/>
              <w:t> </w:t>
            </w:r>
          </w:p>
        </w:tc>
        <w:tc>
          <w:tcPr>
            <w:tcW w:w="843" w:type="dxa"/>
            <w:tcBorders/>
            <w:shd w:fill="CCEEFF" w:val="clear"/>
            <w:tcMar>
              <w:bottom w:w="0" w:type="dxa"/>
            </w:tcMar>
            <w:vAlign w:val="center"/>
          </w:tcPr>
          <w:p>
            <w:pPr>
              <w:pStyle w:val="TableContents"/>
              <w:bidi w:val="0"/>
              <w:spacing w:before="0" w:after="283"/>
              <w:jc w:val="right"/>
              <w:rPr/>
            </w:pPr>
            <w:r>
              <w:rPr/>
              <w:t>718</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5135" w:type="dxa"/>
            <w:tcBorders/>
            <w:tcMar>
              <w:bottom w:w="0" w:type="dxa"/>
            </w:tcMar>
            <w:vAlign w:val="center"/>
          </w:tcPr>
          <w:p>
            <w:pPr>
              <w:pStyle w:val="TableContents"/>
              <w:bidi w:val="0"/>
              <w:spacing w:before="0" w:after="283"/>
              <w:jc w:val="both"/>
              <w:rPr/>
            </w:pPr>
            <w:r>
              <w:rPr/>
              <w:t>2029</w:t>
            </w:r>
          </w:p>
        </w:tc>
        <w:tc>
          <w:tcPr>
            <w:tcW w:w="90" w:type="dxa"/>
            <w:tcBorders/>
            <w:tcMar>
              <w:bottom w:w="0" w:type="dxa"/>
            </w:tcMar>
            <w:vAlign w:val="center"/>
          </w:tcPr>
          <w:p>
            <w:pPr>
              <w:pStyle w:val="TableContents"/>
              <w:bidi w:val="0"/>
              <w:spacing w:before="0" w:after="283"/>
              <w:jc w:val="left"/>
              <w:rPr/>
            </w:pPr>
            <w:r>
              <w:rPr/>
              <w:t> </w:t>
            </w:r>
          </w:p>
        </w:tc>
        <w:tc>
          <w:tcPr>
            <w:tcW w:w="242" w:type="dxa"/>
            <w:tcBorders/>
            <w:tcMar>
              <w:bottom w:w="0" w:type="dxa"/>
            </w:tcMar>
            <w:vAlign w:val="center"/>
          </w:tcPr>
          <w:p>
            <w:pPr>
              <w:pStyle w:val="TableContents"/>
              <w:bidi w:val="0"/>
              <w:spacing w:before="0" w:after="283"/>
              <w:jc w:val="left"/>
              <w:rPr/>
            </w:pPr>
            <w:r>
              <w:rPr/>
              <w:t> </w:t>
            </w:r>
          </w:p>
        </w:tc>
        <w:tc>
          <w:tcPr>
            <w:tcW w:w="843" w:type="dxa"/>
            <w:tcBorders/>
            <w:tcMar>
              <w:bottom w:w="0" w:type="dxa"/>
            </w:tcMar>
            <w:vAlign w:val="center"/>
          </w:tcPr>
          <w:p>
            <w:pPr>
              <w:pStyle w:val="TableContents"/>
              <w:bidi w:val="0"/>
              <w:spacing w:before="0" w:after="283"/>
              <w:jc w:val="right"/>
              <w:rPr/>
            </w:pPr>
            <w:r>
              <w:rPr/>
              <w:t>87</w:t>
            </w:r>
          </w:p>
        </w:tc>
        <w:tc>
          <w:tcPr>
            <w:tcW w:w="135" w:type="dxa"/>
            <w:tcBorders/>
            <w:tcMar>
              <w:bottom w:w="0" w:type="dxa"/>
            </w:tcMar>
            <w:vAlign w:val="center"/>
          </w:tcPr>
          <w:p>
            <w:pPr>
              <w:pStyle w:val="TableContents"/>
              <w:bidi w:val="0"/>
              <w:spacing w:before="0" w:after="283"/>
              <w:jc w:val="left"/>
              <w:rPr/>
            </w:pPr>
            <w:r>
              <w:rPr/>
              <w:t> </w:t>
            </w:r>
          </w:p>
        </w:tc>
      </w:tr>
      <w:tr>
        <w:trPr/>
        <w:tc>
          <w:tcPr>
            <w:tcW w:w="5135" w:type="dxa"/>
            <w:tcBorders/>
            <w:shd w:fill="CCEEFF" w:val="clear"/>
            <w:tcMar>
              <w:bottom w:w="0" w:type="dxa"/>
            </w:tcMar>
            <w:vAlign w:val="center"/>
          </w:tcPr>
          <w:p>
            <w:pPr>
              <w:pStyle w:val="TableContents"/>
              <w:bidi w:val="0"/>
              <w:spacing w:before="0" w:after="283"/>
              <w:jc w:val="left"/>
              <w:rPr/>
            </w:pPr>
            <w:r>
              <w:rPr/>
              <w:t>Thereafter</w:t>
            </w:r>
          </w:p>
        </w:tc>
        <w:tc>
          <w:tcPr>
            <w:tcW w:w="90" w:type="dxa"/>
            <w:tcBorders/>
            <w:shd w:fill="CCEEFF" w:val="clear"/>
            <w:tcMar>
              <w:bottom w:w="0" w:type="dxa"/>
            </w:tcMar>
            <w:vAlign w:val="center"/>
          </w:tcPr>
          <w:p>
            <w:pPr>
              <w:pStyle w:val="TableContents"/>
              <w:bidi w:val="0"/>
              <w:spacing w:before="0" w:after="283"/>
              <w:jc w:val="left"/>
              <w:rPr/>
            </w:pPr>
            <w:r>
              <w:rPr/>
              <w:t> </w:t>
            </w:r>
          </w:p>
        </w:tc>
        <w:tc>
          <w:tcPr>
            <w:tcW w:w="242" w:type="dxa"/>
            <w:tcBorders>
              <w:bottom w:val="single" w:sz="12" w:space="0" w:color="000000"/>
            </w:tcBorders>
            <w:shd w:fill="CCEEFF" w:val="clear"/>
            <w:vAlign w:val="center"/>
          </w:tcPr>
          <w:p>
            <w:pPr>
              <w:pStyle w:val="TableContents"/>
              <w:bidi w:val="0"/>
              <w:spacing w:before="0" w:after="283"/>
              <w:jc w:val="left"/>
              <w:rPr/>
            </w:pPr>
            <w:r>
              <w:rPr/>
              <w:t> </w:t>
            </w:r>
          </w:p>
        </w:tc>
        <w:tc>
          <w:tcPr>
            <w:tcW w:w="843" w:type="dxa"/>
            <w:tcBorders>
              <w:bottom w:val="single" w:sz="12" w:space="0" w:color="000000"/>
            </w:tcBorders>
            <w:shd w:fill="CCEEFF" w:val="clear"/>
            <w:vAlign w:val="center"/>
          </w:tcPr>
          <w:p>
            <w:pPr>
              <w:pStyle w:val="TableContents"/>
              <w:bidi w:val="0"/>
              <w:spacing w:before="0" w:after="0"/>
              <w:jc w:val="right"/>
              <w:rPr/>
            </w:pPr>
            <w:r>
              <w:rPr/>
              <w:t>-</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5135" w:type="dxa"/>
            <w:tcBorders/>
            <w:tcMar>
              <w:bottom w:w="0" w:type="dxa"/>
            </w:tcMar>
            <w:vAlign w:val="center"/>
          </w:tcPr>
          <w:p>
            <w:pPr>
              <w:pStyle w:val="TableContents"/>
              <w:bidi w:val="0"/>
              <w:spacing w:before="0" w:after="283"/>
              <w:jc w:val="left"/>
              <w:rPr/>
            </w:pPr>
            <w:r>
              <w:rPr/>
              <w:t>Total future operating lease payments</w:t>
            </w:r>
          </w:p>
        </w:tc>
        <w:tc>
          <w:tcPr>
            <w:tcW w:w="90" w:type="dxa"/>
            <w:tcBorders/>
            <w:tcMar>
              <w:bottom w:w="0" w:type="dxa"/>
            </w:tcMar>
            <w:vAlign w:val="center"/>
          </w:tcPr>
          <w:p>
            <w:pPr>
              <w:pStyle w:val="TableContents"/>
              <w:bidi w:val="0"/>
              <w:spacing w:before="0" w:after="283"/>
              <w:jc w:val="left"/>
              <w:rPr/>
            </w:pPr>
            <w:r>
              <w:rPr/>
              <w:t> </w:t>
            </w:r>
          </w:p>
        </w:tc>
        <w:tc>
          <w:tcPr>
            <w:tcW w:w="242" w:type="dxa"/>
            <w:tcBorders/>
            <w:tcMar>
              <w:bottom w:w="0" w:type="dxa"/>
            </w:tcMar>
            <w:vAlign w:val="center"/>
          </w:tcPr>
          <w:p>
            <w:pPr>
              <w:pStyle w:val="TableContents"/>
              <w:bidi w:val="0"/>
              <w:spacing w:before="0" w:after="283"/>
              <w:jc w:val="left"/>
              <w:rPr/>
            </w:pPr>
            <w:r>
              <w:rPr/>
              <w:t> </w:t>
            </w:r>
          </w:p>
        </w:tc>
        <w:tc>
          <w:tcPr>
            <w:tcW w:w="843" w:type="dxa"/>
            <w:tcBorders/>
            <w:tcMar>
              <w:bottom w:w="0" w:type="dxa"/>
            </w:tcMar>
            <w:vAlign w:val="center"/>
          </w:tcPr>
          <w:p>
            <w:pPr>
              <w:pStyle w:val="TableContents"/>
              <w:bidi w:val="0"/>
              <w:spacing w:before="0" w:after="283"/>
              <w:jc w:val="right"/>
              <w:rPr/>
            </w:pPr>
            <w:r>
              <w:rPr/>
              <w:t>2,949</w:t>
            </w:r>
          </w:p>
        </w:tc>
        <w:tc>
          <w:tcPr>
            <w:tcW w:w="135" w:type="dxa"/>
            <w:tcBorders/>
            <w:tcMar>
              <w:bottom w:w="0" w:type="dxa"/>
            </w:tcMar>
            <w:vAlign w:val="center"/>
          </w:tcPr>
          <w:p>
            <w:pPr>
              <w:pStyle w:val="TableContents"/>
              <w:bidi w:val="0"/>
              <w:spacing w:before="0" w:after="283"/>
              <w:jc w:val="left"/>
              <w:rPr/>
            </w:pPr>
            <w:r>
              <w:rPr/>
              <w:t> </w:t>
            </w:r>
          </w:p>
        </w:tc>
      </w:tr>
      <w:tr>
        <w:trPr/>
        <w:tc>
          <w:tcPr>
            <w:tcW w:w="5135" w:type="dxa"/>
            <w:tcBorders/>
            <w:shd w:fill="CCEEFF" w:val="clear"/>
            <w:tcMar>
              <w:bottom w:w="0" w:type="dxa"/>
            </w:tcMar>
            <w:vAlign w:val="center"/>
          </w:tcPr>
          <w:p>
            <w:pPr>
              <w:pStyle w:val="TableContents"/>
              <w:bidi w:val="0"/>
              <w:spacing w:before="0" w:after="283"/>
              <w:jc w:val="left"/>
              <w:rPr/>
            </w:pPr>
            <w:r>
              <w:rPr/>
              <w:t>Less: imputed interest</w:t>
            </w:r>
          </w:p>
        </w:tc>
        <w:tc>
          <w:tcPr>
            <w:tcW w:w="90" w:type="dxa"/>
            <w:tcBorders/>
            <w:shd w:fill="CCEEFF" w:val="clear"/>
            <w:tcMar>
              <w:bottom w:w="0" w:type="dxa"/>
            </w:tcMar>
            <w:vAlign w:val="center"/>
          </w:tcPr>
          <w:p>
            <w:pPr>
              <w:pStyle w:val="TableContents"/>
              <w:bidi w:val="0"/>
              <w:spacing w:before="0" w:after="283"/>
              <w:jc w:val="left"/>
              <w:rPr/>
            </w:pPr>
            <w:r>
              <w:rPr/>
              <w:t> </w:t>
            </w:r>
          </w:p>
        </w:tc>
        <w:tc>
          <w:tcPr>
            <w:tcW w:w="242" w:type="dxa"/>
            <w:tcBorders>
              <w:bottom w:val="single" w:sz="12" w:space="0" w:color="000000"/>
            </w:tcBorders>
            <w:shd w:fill="CCEEFF" w:val="clear"/>
            <w:vAlign w:val="center"/>
          </w:tcPr>
          <w:p>
            <w:pPr>
              <w:pStyle w:val="TableContents"/>
              <w:bidi w:val="0"/>
              <w:spacing w:before="0" w:after="283"/>
              <w:jc w:val="left"/>
              <w:rPr/>
            </w:pPr>
            <w:r>
              <w:rPr/>
              <w:t> </w:t>
            </w:r>
          </w:p>
        </w:tc>
        <w:tc>
          <w:tcPr>
            <w:tcW w:w="843" w:type="dxa"/>
            <w:tcBorders>
              <w:bottom w:val="single" w:sz="12" w:space="0" w:color="000000"/>
            </w:tcBorders>
            <w:shd w:fill="CCEEFF" w:val="clear"/>
            <w:vAlign w:val="center"/>
          </w:tcPr>
          <w:p>
            <w:pPr>
              <w:pStyle w:val="TableContents"/>
              <w:bidi w:val="0"/>
              <w:spacing w:before="0" w:after="283"/>
              <w:jc w:val="right"/>
              <w:rPr/>
            </w:pPr>
            <w:r>
              <w:rPr/>
              <w:t>200</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5135" w:type="dxa"/>
            <w:tcBorders/>
            <w:tcMar>
              <w:bottom w:w="0" w:type="dxa"/>
            </w:tcMar>
            <w:vAlign w:val="center"/>
          </w:tcPr>
          <w:p>
            <w:pPr>
              <w:pStyle w:val="TableContents"/>
              <w:bidi w:val="0"/>
              <w:spacing w:before="0" w:after="283"/>
              <w:jc w:val="left"/>
              <w:rPr/>
            </w:pPr>
            <w:r>
              <w:rPr/>
              <w:t>Present value of future minimum lease payments</w:t>
            </w:r>
          </w:p>
        </w:tc>
        <w:tc>
          <w:tcPr>
            <w:tcW w:w="90" w:type="dxa"/>
            <w:tcBorders/>
            <w:tcMar>
              <w:bottom w:w="0" w:type="dxa"/>
            </w:tcMar>
            <w:vAlign w:val="center"/>
          </w:tcPr>
          <w:p>
            <w:pPr>
              <w:pStyle w:val="TableContents"/>
              <w:bidi w:val="0"/>
              <w:spacing w:before="0" w:after="283"/>
              <w:jc w:val="left"/>
              <w:rPr/>
            </w:pPr>
            <w:r>
              <w:rPr/>
              <w:t> </w:t>
            </w:r>
          </w:p>
        </w:tc>
        <w:tc>
          <w:tcPr>
            <w:tcW w:w="242" w:type="dxa"/>
            <w:tcBorders>
              <w:bottom w:val="double" w:sz="10" w:space="0" w:color="000000"/>
            </w:tcBorders>
            <w:vAlign w:val="center"/>
          </w:tcPr>
          <w:p>
            <w:pPr>
              <w:pStyle w:val="TableContents"/>
              <w:bidi w:val="0"/>
              <w:spacing w:before="0" w:after="283"/>
              <w:jc w:val="left"/>
              <w:rPr/>
            </w:pPr>
            <w:r>
              <w:rPr/>
              <w:t>$</w:t>
            </w:r>
          </w:p>
        </w:tc>
        <w:tc>
          <w:tcPr>
            <w:tcW w:w="843" w:type="dxa"/>
            <w:tcBorders>
              <w:bottom w:val="double" w:sz="10" w:space="0" w:color="000000"/>
            </w:tcBorders>
            <w:vAlign w:val="center"/>
          </w:tcPr>
          <w:p>
            <w:pPr>
              <w:pStyle w:val="TableContents"/>
              <w:bidi w:val="0"/>
              <w:spacing w:before="0" w:after="283"/>
              <w:jc w:val="right"/>
              <w:rPr/>
            </w:pPr>
            <w:r>
              <w:rPr/>
              <w:t>2,749</w:t>
            </w:r>
          </w:p>
        </w:tc>
        <w:tc>
          <w:tcPr>
            <w:tcW w:w="13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 Commitments and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Commitments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commitments under certain license and collaboration agreements, lease agreements and employment agreements. Commitments under certain license agreements primarily include annual payments, payments upon the achievement of certain milestones and royalty payments based on net sales of licensed products. Commitments under lease agreements consist of future minimum lease payments for operating leases which are further described in Note 8 of this Quarterly Report on Form 10-Q.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may be subject to various legal proceedings and claims that arise in the ordinary course of its business activities. Management is of the opinion that the ultimate outcome of these matters would not have a material adverse impact on the financial position of the Company or the results of its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normal course of business, the Company enters into contracts in which it makes representations and warranties regarding the performance of its services and that its services will not infringe on third-party intellectual rights. There have been no significant events related to such representations and warranties in which the Company believes the outcome could result in losses or penalties in the future.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Stockholders’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Common Stock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December 31, 2025, the Company had 200,000,000 and 100,000,000 shares of common stock authorized for issuance, respectively, $0.001 par value per share, of which 59,083,935 and 53,587,260 shares were issued and outstanding,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12, 2026, the stockholders approved an amendment to the Company’s sixth amended and restated certificate of incorporation to increase the number of authorized shares of common stock to 200,000,000 from 100,000,000.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the Company’s common stock are entitled to one vote per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13, 2026, the Company entered into a sales agreement with TD Securities (USA) LLC, as sales agent, pursuant to which the Company may offer and sell, from time to time, shares of the Company’s common stock having an aggregate offering price of up to $100,000, or the ATM Program. During the three and six months ended June 30, 2026, the Company did not sell any shares under the ATM Program.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Protara Therapeutics,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(amounts in thousands, except share and per share data)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December 31, 2025, the Company had 10,000,000 shares of preferred stock authorized for issuance, $0.001 par value per share, of which 8,028 shares of Series 1 Convertible Preferred Stock were authorized for issuance and 872 and 5,615 shares were issued and outstanding as of June 30, 2026 and December 31, 2025, respectively. Each share of Series 1 Convertible Preferred Stock is convertible into approximately 1,000 shares of common stock, at a conversion price initially equal to approximately $7.01 per common share, subject to certain adjustments as described in the certificate of designation of preferences, rights and limitations of Series 1 Convertible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and six months ended June 30, 2026, approximately 3,772 and 4,743 shares of Series 1 Convertible Preferred Stock, respectively, were converted into 3,773,586 and 4,744,790 shares of common stock,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Series 1 Convertible Preferred Stock are not entitled to vote.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April 2024 private placement, or the April 2024 Private Placement, the Company issued common warrants, or the April 2024 Common Warrants, to purchase an aggregate of up to 10,843,380 shares of the Company’s common stock. Pursuant to the terms of issuance, the April 2024 Common Warrants were exercisable on or prior to the earlier of: (i) April 10, 2027 or (ii) 90 days after the public announcement that the Company has demonstrated a six-month complete response rate of minimum 42% from at least 25 BCG-Unresponsive (where BCG is defined as Bacillus Calmette-Guérin) patients in the ADVANCED-2 (Cohort B) clinical trial, at an exercise price of $5.25 per share. On March 30, 2026, the Company publicly announced that it had satisfied the condition set forth for fixing the termination date for exercise of the April 2024 Common Warrants, and as such, the unexercised April 2024 Common Warrants expired on June 29,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April 2024 Private Placement, for certain purchasers, the Company issued pre-funded warrants, or the April 2024 Pre-Funded Warrants, to purchase an aggregate of up to 1,700,000 shares of the Company’s common stock. The April 2024 Pre-Funded Warrants are exercisable at any time.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December 2024 public offering, or the December 2024 Public Offering, for certain purchasers, the Company issued pre-funded warrants, or the December 2024 Pre-Funded Warrants, to purchase an aggregate of up to 2,325,372 shares of the Company’s common stock. The December 2024 Pre-Funded Warrants are exercisable at any time.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the activity of the Company’s warrants to acquire shares of common stock for the six months ended June 30, 2026:</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232"/>
        <w:gridCol w:w="90"/>
        <w:gridCol w:w="106"/>
        <w:gridCol w:w="1339"/>
        <w:gridCol w:w="90"/>
        <w:gridCol w:w="90"/>
        <w:gridCol w:w="378"/>
        <w:gridCol w:w="527"/>
        <w:gridCol w:w="90"/>
        <w:gridCol w:w="90"/>
        <w:gridCol w:w="101"/>
        <w:gridCol w:w="939"/>
        <w:gridCol w:w="90"/>
        <w:gridCol w:w="90"/>
        <w:gridCol w:w="90"/>
        <w:gridCol w:w="1010"/>
        <w:gridCol w:w="90"/>
        <w:gridCol w:w="90"/>
        <w:gridCol w:w="113"/>
        <w:gridCol w:w="1281"/>
        <w:gridCol w:w="90"/>
        <w:gridCol w:w="90"/>
        <w:gridCol w:w="214"/>
        <w:gridCol w:w="747"/>
        <w:gridCol w:w="138"/>
      </w:tblGrid>
      <w:tr>
        <w:trPr/>
        <w:tc>
          <w:tcPr>
            <w:tcW w:w="2232" w:type="dxa"/>
            <w:tcBorders>
              <w:bottom w:val="single" w:sz="12" w:space="0" w:color="000000"/>
            </w:tcBorders>
            <w:vAlign w:val="center"/>
          </w:tcPr>
          <w:p>
            <w:pPr>
              <w:pStyle w:val="TableContents"/>
              <w:bidi w:val="0"/>
              <w:spacing w:before="0" w:after="283"/>
              <w:ind w:left="0" w:right="0" w:hanging="180"/>
              <w:jc w:val="left"/>
              <w:rPr>
                <w:b/>
              </w:rPr>
            </w:pPr>
            <w:r>
              <w:rPr>
                <w:b/>
              </w:rPr>
              <w:t>Equity Instrument</w:t>
            </w:r>
          </w:p>
        </w:tc>
        <w:tc>
          <w:tcPr>
            <w:tcW w:w="90" w:type="dxa"/>
            <w:tcBorders/>
            <w:tcMar>
              <w:bottom w:w="0" w:type="dxa"/>
            </w:tcMar>
            <w:vAlign w:val="center"/>
          </w:tcPr>
          <w:p>
            <w:pPr>
              <w:pStyle w:val="TableContents"/>
              <w:bidi w:val="0"/>
              <w:spacing w:before="0" w:after="283"/>
              <w:jc w:val="center"/>
              <w:rPr/>
            </w:pPr>
            <w:r>
              <w:rPr/>
              <w:t> </w:t>
            </w:r>
          </w:p>
        </w:tc>
        <w:tc>
          <w:tcPr>
            <w:tcW w:w="1445" w:type="dxa"/>
            <w:gridSpan w:val="2"/>
            <w:tcBorders>
              <w:bottom w:val="single" w:sz="12" w:space="0" w:color="000000"/>
            </w:tcBorders>
            <w:vAlign w:val="center"/>
          </w:tcPr>
          <w:p>
            <w:pPr>
              <w:pStyle w:val="TableContents"/>
              <w:bidi w:val="0"/>
              <w:spacing w:before="0" w:after="283"/>
              <w:jc w:val="center"/>
              <w:rPr>
                <w:b/>
              </w:rPr>
            </w:pPr>
            <w:r>
              <w:rPr>
                <w:b/>
              </w:rPr>
              <w:t xml:space="preserve">Outstanding, </w:t>
              <w:br/>
              <w:t>December 31,</w:t>
              <w:br/>
              <w:t>2025</w:t>
            </w:r>
          </w:p>
        </w:tc>
        <w:tc>
          <w:tcPr>
            <w:tcW w:w="9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905" w:type="dxa"/>
            <w:gridSpan w:val="2"/>
            <w:tcBorders>
              <w:bottom w:val="single" w:sz="12" w:space="0" w:color="000000"/>
            </w:tcBorders>
            <w:vAlign w:val="center"/>
          </w:tcPr>
          <w:p>
            <w:pPr>
              <w:pStyle w:val="TableContents"/>
              <w:bidi w:val="0"/>
              <w:spacing w:before="0" w:after="283"/>
              <w:jc w:val="center"/>
              <w:rPr>
                <w:b/>
              </w:rPr>
            </w:pPr>
            <w:r>
              <w:rPr>
                <w:b/>
              </w:rPr>
              <w:t>Granted</w:t>
            </w:r>
          </w:p>
        </w:tc>
        <w:tc>
          <w:tcPr>
            <w:tcW w:w="9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1040" w:type="dxa"/>
            <w:gridSpan w:val="2"/>
            <w:tcBorders>
              <w:bottom w:val="single" w:sz="12" w:space="0" w:color="000000"/>
            </w:tcBorders>
            <w:vAlign w:val="center"/>
          </w:tcPr>
          <w:p>
            <w:pPr>
              <w:pStyle w:val="TableContents"/>
              <w:bidi w:val="0"/>
              <w:spacing w:before="0" w:after="283"/>
              <w:jc w:val="center"/>
              <w:rPr>
                <w:b/>
              </w:rPr>
            </w:pPr>
            <w:r>
              <w:rPr>
                <w:b/>
              </w:rPr>
              <w:t>Exercised</w:t>
            </w:r>
          </w:p>
        </w:tc>
        <w:tc>
          <w:tcPr>
            <w:tcW w:w="9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1100" w:type="dxa"/>
            <w:gridSpan w:val="2"/>
            <w:tcBorders>
              <w:bottom w:val="single" w:sz="12" w:space="0" w:color="000000"/>
            </w:tcBorders>
            <w:vAlign w:val="center"/>
          </w:tcPr>
          <w:p>
            <w:pPr>
              <w:pStyle w:val="TableContents"/>
              <w:bidi w:val="0"/>
              <w:spacing w:before="0" w:after="283"/>
              <w:jc w:val="center"/>
              <w:rPr>
                <w:b/>
              </w:rPr>
            </w:pPr>
            <w:r>
              <w:rPr>
                <w:b/>
              </w:rPr>
              <w:t>Expired</w:t>
            </w:r>
          </w:p>
        </w:tc>
        <w:tc>
          <w:tcPr>
            <w:tcW w:w="9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1394" w:type="dxa"/>
            <w:gridSpan w:val="2"/>
            <w:tcBorders>
              <w:bottom w:val="single" w:sz="12" w:space="0" w:color="000000"/>
            </w:tcBorders>
            <w:vAlign w:val="center"/>
          </w:tcPr>
          <w:p>
            <w:pPr>
              <w:pStyle w:val="TableContents"/>
              <w:bidi w:val="0"/>
              <w:spacing w:before="0" w:after="283"/>
              <w:jc w:val="center"/>
              <w:rPr>
                <w:b/>
              </w:rPr>
            </w:pPr>
            <w:r>
              <w:rPr>
                <w:b/>
              </w:rPr>
              <w:t xml:space="preserve">Outstanding, </w:t>
              <w:br/>
              <w:t xml:space="preserve">June 30, </w:t>
              <w:br/>
              <w:t>2026</w:t>
            </w:r>
          </w:p>
        </w:tc>
        <w:tc>
          <w:tcPr>
            <w:tcW w:w="9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961" w:type="dxa"/>
            <w:gridSpan w:val="2"/>
            <w:tcBorders>
              <w:bottom w:val="single" w:sz="12" w:space="0" w:color="000000"/>
            </w:tcBorders>
            <w:vAlign w:val="center"/>
          </w:tcPr>
          <w:p>
            <w:pPr>
              <w:pStyle w:val="TableContents"/>
              <w:bidi w:val="0"/>
              <w:spacing w:before="0" w:after="283"/>
              <w:jc w:val="center"/>
              <w:rPr>
                <w:b/>
              </w:rPr>
            </w:pPr>
            <w:r>
              <w:rPr>
                <w:b/>
              </w:rPr>
              <w:t xml:space="preserve">Exercise </w:t>
              <w:br/>
              <w:t xml:space="preserve">Price per </w:t>
              <w:br/>
              <w:t>Share</w:t>
            </w:r>
          </w:p>
        </w:tc>
        <w:tc>
          <w:tcPr>
            <w:tcW w:w="138" w:type="dxa"/>
            <w:tcBorders/>
            <w:tcMar>
              <w:bottom w:w="0" w:type="dxa"/>
            </w:tcMar>
            <w:vAlign w:val="center"/>
          </w:tcPr>
          <w:p>
            <w:pPr>
              <w:pStyle w:val="TableContents"/>
              <w:bidi w:val="0"/>
              <w:spacing w:before="0" w:after="283"/>
              <w:ind w:left="0" w:right="0" w:hanging="180"/>
              <w:jc w:val="center"/>
              <w:rPr/>
            </w:pPr>
            <w:r>
              <w:rPr/>
              <w:t> </w:t>
            </w:r>
          </w:p>
        </w:tc>
      </w:tr>
      <w:tr>
        <w:trPr/>
        <w:tc>
          <w:tcPr>
            <w:tcW w:w="2232" w:type="dxa"/>
            <w:tcBorders/>
            <w:shd w:fill="CCEEFF" w:val="clear"/>
            <w:tcMar>
              <w:bottom w:w="0" w:type="dxa"/>
            </w:tcMar>
            <w:vAlign w:val="center"/>
          </w:tcPr>
          <w:p>
            <w:pPr>
              <w:pStyle w:val="TableContents"/>
              <w:bidi w:val="0"/>
              <w:spacing w:before="0" w:after="283"/>
              <w:jc w:val="left"/>
              <w:rPr/>
            </w:pPr>
            <w:r>
              <w:rPr/>
              <w:t>April 2024 Common Warrants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6" w:type="dxa"/>
            <w:tcBorders/>
            <w:shd w:fill="CCEEFF" w:val="clear"/>
            <w:tcMar>
              <w:bottom w:w="0" w:type="dxa"/>
            </w:tcMar>
            <w:vAlign w:val="center"/>
          </w:tcPr>
          <w:p>
            <w:pPr>
              <w:pStyle w:val="TableContents"/>
              <w:bidi w:val="0"/>
              <w:spacing w:before="0" w:after="283"/>
              <w:jc w:val="left"/>
              <w:rPr/>
            </w:pPr>
            <w:r>
              <w:rPr/>
              <w:t> </w:t>
            </w:r>
          </w:p>
        </w:tc>
        <w:tc>
          <w:tcPr>
            <w:tcW w:w="1339" w:type="dxa"/>
            <w:tcBorders/>
            <w:shd w:fill="CCEEFF" w:val="clear"/>
            <w:tcMar>
              <w:bottom w:w="0" w:type="dxa"/>
            </w:tcMar>
            <w:vAlign w:val="center"/>
          </w:tcPr>
          <w:p>
            <w:pPr>
              <w:pStyle w:val="TableContents"/>
              <w:bidi w:val="0"/>
              <w:spacing w:before="0" w:after="283"/>
              <w:jc w:val="right"/>
              <w:rPr/>
            </w:pPr>
            <w:r>
              <w:rPr/>
              <w:t>10,118,380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78" w:type="dxa"/>
            <w:tcBorders/>
            <w:shd w:fill="CCEEFF" w:val="clear"/>
            <w:tcMar>
              <w:bottom w:w="0" w:type="dxa"/>
            </w:tcMar>
            <w:vAlign w:val="center"/>
          </w:tcPr>
          <w:p>
            <w:pPr>
              <w:pStyle w:val="TableContents"/>
              <w:bidi w:val="0"/>
              <w:spacing w:before="0" w:after="283"/>
              <w:jc w:val="left"/>
              <w:rPr/>
            </w:pPr>
            <w:r>
              <w:rPr/>
              <w:t> </w:t>
            </w:r>
          </w:p>
        </w:tc>
        <w:tc>
          <w:tcPr>
            <w:tcW w:w="527" w:type="dxa"/>
            <w:tcBorders/>
            <w:shd w:fill="CCEEFF" w:val="clear"/>
            <w:tcMar>
              <w:bottom w:w="0" w:type="dxa"/>
            </w:tcMar>
            <w:vAlign w:val="center"/>
          </w:tcPr>
          <w:p>
            <w:pPr>
              <w:pStyle w:val="TableContents"/>
              <w:bidi w:val="0"/>
              <w:spacing w:before="0" w:after="0"/>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1" w:type="dxa"/>
            <w:tcBorders/>
            <w:shd w:fill="CCEEFF" w:val="clear"/>
            <w:tcMar>
              <w:bottom w:w="0" w:type="dxa"/>
            </w:tcMar>
            <w:vAlign w:val="center"/>
          </w:tcPr>
          <w:p>
            <w:pPr>
              <w:pStyle w:val="TableContents"/>
              <w:bidi w:val="0"/>
              <w:spacing w:before="0" w:after="283"/>
              <w:jc w:val="left"/>
              <w:rPr/>
            </w:pPr>
            <w:r>
              <w:rPr/>
              <w:t> </w:t>
            </w:r>
          </w:p>
        </w:tc>
        <w:tc>
          <w:tcPr>
            <w:tcW w:w="939" w:type="dxa"/>
            <w:tcBorders/>
            <w:shd w:fill="CCEEFF" w:val="clear"/>
            <w:tcMar>
              <w:bottom w:w="0" w:type="dxa"/>
            </w:tcMar>
            <w:vAlign w:val="center"/>
          </w:tcPr>
          <w:p>
            <w:pPr>
              <w:pStyle w:val="TableContents"/>
              <w:bidi w:val="0"/>
              <w:spacing w:before="0" w:after="283"/>
              <w:jc w:val="right"/>
              <w:rPr/>
            </w:pPr>
            <w:r>
              <w:rPr/>
              <w:t>370,000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9,748,380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jc w:val="left"/>
              <w:rPr/>
            </w:pPr>
            <w:r>
              <w:rPr/>
              <w:t> </w:t>
            </w:r>
          </w:p>
        </w:tc>
        <w:tc>
          <w:tcPr>
            <w:tcW w:w="1281" w:type="dxa"/>
            <w:tcBorders/>
            <w:shd w:fill="CCEEFF" w:val="clear"/>
            <w:tcMar>
              <w:bottom w:w="0" w:type="dxa"/>
            </w:tcMar>
            <w:vAlign w:val="center"/>
          </w:tcPr>
          <w:p>
            <w:pPr>
              <w:pStyle w:val="TableContents"/>
              <w:bidi w:val="0"/>
              <w:spacing w:before="0" w:after="0"/>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4" w:type="dxa"/>
            <w:tcBorders/>
            <w:shd w:fill="CCEEFF" w:val="clear"/>
            <w:tcMar>
              <w:bottom w:w="0" w:type="dxa"/>
            </w:tcMar>
            <w:vAlign w:val="center"/>
          </w:tcPr>
          <w:p>
            <w:pPr>
              <w:pStyle w:val="TableContents"/>
              <w:bidi w:val="0"/>
              <w:spacing w:before="0" w:after="283"/>
              <w:jc w:val="left"/>
              <w:rPr/>
            </w:pPr>
            <w:r>
              <w:rPr/>
              <w:t>$</w:t>
            </w:r>
          </w:p>
        </w:tc>
        <w:tc>
          <w:tcPr>
            <w:tcW w:w="747" w:type="dxa"/>
            <w:tcBorders/>
            <w:shd w:fill="CCEEFF" w:val="clear"/>
            <w:tcMar>
              <w:bottom w:w="0" w:type="dxa"/>
            </w:tcMar>
            <w:vAlign w:val="center"/>
          </w:tcPr>
          <w:p>
            <w:pPr>
              <w:pStyle w:val="TableContents"/>
              <w:bidi w:val="0"/>
              <w:spacing w:before="0" w:after="283"/>
              <w:jc w:val="right"/>
              <w:rPr/>
            </w:pPr>
            <w:r>
              <w:rPr/>
              <w:t>5.250</w:t>
            </w:r>
          </w:p>
        </w:tc>
        <w:tc>
          <w:tcPr>
            <w:tcW w:w="138"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2232" w:type="dxa"/>
            <w:tcBorders/>
            <w:tcMar>
              <w:bottom w:w="0" w:type="dxa"/>
            </w:tcMar>
            <w:vAlign w:val="center"/>
          </w:tcPr>
          <w:p>
            <w:pPr>
              <w:pStyle w:val="TableContents"/>
              <w:bidi w:val="0"/>
              <w:spacing w:before="0" w:after="283"/>
              <w:jc w:val="left"/>
              <w:rPr/>
            </w:pPr>
            <w:r>
              <w:rPr/>
              <w:t>April 2024 Pre-Funded Warrants</w:t>
            </w:r>
          </w:p>
        </w:tc>
        <w:tc>
          <w:tcPr>
            <w:tcW w:w="90" w:type="dxa"/>
            <w:tcBorders/>
            <w:tcMar>
              <w:bottom w:w="0" w:type="dxa"/>
            </w:tcMar>
            <w:vAlign w:val="center"/>
          </w:tcPr>
          <w:p>
            <w:pPr>
              <w:pStyle w:val="TableContents"/>
              <w:bidi w:val="0"/>
              <w:spacing w:before="0" w:after="283"/>
              <w:jc w:val="left"/>
              <w:rPr/>
            </w:pPr>
            <w:r>
              <w:rPr/>
              <w:t> </w:t>
            </w:r>
          </w:p>
        </w:tc>
        <w:tc>
          <w:tcPr>
            <w:tcW w:w="106" w:type="dxa"/>
            <w:tcBorders/>
            <w:tcMar>
              <w:bottom w:w="0" w:type="dxa"/>
            </w:tcMar>
            <w:vAlign w:val="center"/>
          </w:tcPr>
          <w:p>
            <w:pPr>
              <w:pStyle w:val="TableContents"/>
              <w:bidi w:val="0"/>
              <w:spacing w:before="0" w:after="283"/>
              <w:jc w:val="left"/>
              <w:rPr/>
            </w:pPr>
            <w:r>
              <w:rPr/>
              <w:t> </w:t>
            </w:r>
          </w:p>
        </w:tc>
        <w:tc>
          <w:tcPr>
            <w:tcW w:w="1339" w:type="dxa"/>
            <w:tcBorders/>
            <w:tcMar>
              <w:bottom w:w="0" w:type="dxa"/>
            </w:tcMar>
            <w:vAlign w:val="center"/>
          </w:tcPr>
          <w:p>
            <w:pPr>
              <w:pStyle w:val="TableContents"/>
              <w:bidi w:val="0"/>
              <w:spacing w:before="0" w:after="283"/>
              <w:jc w:val="right"/>
              <w:rPr/>
            </w:pPr>
            <w:r>
              <w:rPr/>
              <w:t>1,700,000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78" w:type="dxa"/>
            <w:tcBorders/>
            <w:tcMar>
              <w:bottom w:w="0" w:type="dxa"/>
            </w:tcMar>
            <w:vAlign w:val="center"/>
          </w:tcPr>
          <w:p>
            <w:pPr>
              <w:pStyle w:val="TableContents"/>
              <w:bidi w:val="0"/>
              <w:spacing w:before="0" w:after="283"/>
              <w:jc w:val="left"/>
              <w:rPr/>
            </w:pPr>
            <w:r>
              <w:rPr/>
              <w:t> </w:t>
            </w:r>
          </w:p>
        </w:tc>
        <w:tc>
          <w:tcPr>
            <w:tcW w:w="527" w:type="dxa"/>
            <w:tcBorders/>
            <w:tcMar>
              <w:bottom w:w="0" w:type="dxa"/>
            </w:tcMar>
            <w:vAlign w:val="center"/>
          </w:tcPr>
          <w:p>
            <w:pPr>
              <w:pStyle w:val="TableContents"/>
              <w:bidi w:val="0"/>
              <w:spacing w:before="0" w:after="0"/>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1" w:type="dxa"/>
            <w:tcBorders/>
            <w:tcMar>
              <w:bottom w:w="0" w:type="dxa"/>
            </w:tcMar>
            <w:vAlign w:val="center"/>
          </w:tcPr>
          <w:p>
            <w:pPr>
              <w:pStyle w:val="TableContents"/>
              <w:bidi w:val="0"/>
              <w:spacing w:before="0" w:after="283"/>
              <w:jc w:val="left"/>
              <w:rPr/>
            </w:pPr>
            <w:r>
              <w:rPr/>
              <w:t> </w:t>
            </w:r>
          </w:p>
        </w:tc>
        <w:tc>
          <w:tcPr>
            <w:tcW w:w="939" w:type="dxa"/>
            <w:tcBorders/>
            <w:tcMar>
              <w:bottom w:w="0" w:type="dxa"/>
            </w:tcMar>
            <w:vAlign w:val="center"/>
          </w:tcPr>
          <w:p>
            <w:pPr>
              <w:pStyle w:val="TableContents"/>
              <w:bidi w:val="0"/>
              <w:spacing w:before="0" w:after="0"/>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0"/>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3" w:type="dxa"/>
            <w:tcBorders/>
            <w:tcMar>
              <w:bottom w:w="0" w:type="dxa"/>
            </w:tcMar>
            <w:vAlign w:val="center"/>
          </w:tcPr>
          <w:p>
            <w:pPr>
              <w:pStyle w:val="TableContents"/>
              <w:bidi w:val="0"/>
              <w:spacing w:before="0" w:after="283"/>
              <w:jc w:val="left"/>
              <w:rPr/>
            </w:pPr>
            <w:r>
              <w:rPr/>
              <w:t> </w:t>
            </w:r>
          </w:p>
        </w:tc>
        <w:tc>
          <w:tcPr>
            <w:tcW w:w="1281" w:type="dxa"/>
            <w:tcBorders/>
            <w:tcMar>
              <w:bottom w:w="0" w:type="dxa"/>
            </w:tcMar>
            <w:vAlign w:val="center"/>
          </w:tcPr>
          <w:p>
            <w:pPr>
              <w:pStyle w:val="TableContents"/>
              <w:bidi w:val="0"/>
              <w:spacing w:before="0" w:after="283"/>
              <w:jc w:val="right"/>
              <w:rPr/>
            </w:pPr>
            <w:r>
              <w:rPr/>
              <w:t>1,700,000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14" w:type="dxa"/>
            <w:tcBorders/>
            <w:tcMar>
              <w:bottom w:w="0" w:type="dxa"/>
            </w:tcMar>
            <w:vAlign w:val="center"/>
          </w:tcPr>
          <w:p>
            <w:pPr>
              <w:pStyle w:val="TableContents"/>
              <w:bidi w:val="0"/>
              <w:spacing w:before="0" w:after="283"/>
              <w:jc w:val="left"/>
              <w:rPr/>
            </w:pPr>
            <w:r>
              <w:rPr/>
              <w:t>$</w:t>
            </w:r>
          </w:p>
        </w:tc>
        <w:tc>
          <w:tcPr>
            <w:tcW w:w="747" w:type="dxa"/>
            <w:tcBorders/>
            <w:tcMar>
              <w:bottom w:w="0" w:type="dxa"/>
            </w:tcMar>
            <w:vAlign w:val="center"/>
          </w:tcPr>
          <w:p>
            <w:pPr>
              <w:pStyle w:val="TableContents"/>
              <w:bidi w:val="0"/>
              <w:spacing w:before="0" w:after="283"/>
              <w:jc w:val="right"/>
              <w:rPr/>
            </w:pPr>
            <w:r>
              <w:rPr/>
              <w:t>0.001</w:t>
            </w:r>
          </w:p>
        </w:tc>
        <w:tc>
          <w:tcPr>
            <w:tcW w:w="138" w:type="dxa"/>
            <w:tcBorders/>
            <w:tcMar>
              <w:bottom w:w="0" w:type="dxa"/>
            </w:tcMar>
            <w:vAlign w:val="center"/>
          </w:tcPr>
          <w:p>
            <w:pPr>
              <w:pStyle w:val="TableContents"/>
              <w:bidi w:val="0"/>
              <w:spacing w:before="0" w:after="283"/>
              <w:ind w:left="0" w:right="0" w:hanging="180"/>
              <w:jc w:val="left"/>
              <w:rPr/>
            </w:pPr>
            <w:r>
              <w:rPr/>
              <w:t> </w:t>
            </w:r>
          </w:p>
        </w:tc>
      </w:tr>
      <w:tr>
        <w:trPr/>
        <w:tc>
          <w:tcPr>
            <w:tcW w:w="2232" w:type="dxa"/>
            <w:tcBorders/>
            <w:shd w:fill="CCEEFF" w:val="clear"/>
            <w:tcMar>
              <w:bottom w:w="0" w:type="dxa"/>
            </w:tcMar>
            <w:vAlign w:val="center"/>
          </w:tcPr>
          <w:p>
            <w:pPr>
              <w:pStyle w:val="TableContents"/>
              <w:bidi w:val="0"/>
              <w:spacing w:before="0" w:after="283"/>
              <w:jc w:val="left"/>
              <w:rPr/>
            </w:pPr>
            <w:r>
              <w:rPr/>
              <w:t>December 2024 Pre-Funded Warrants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6" w:type="dxa"/>
            <w:tcBorders>
              <w:bottom w:val="single" w:sz="12" w:space="0" w:color="000000"/>
            </w:tcBorders>
            <w:shd w:fill="CCEEFF" w:val="clear"/>
            <w:vAlign w:val="center"/>
          </w:tcPr>
          <w:p>
            <w:pPr>
              <w:pStyle w:val="TableContents"/>
              <w:bidi w:val="0"/>
              <w:spacing w:before="0" w:after="283"/>
              <w:jc w:val="left"/>
              <w:rPr/>
            </w:pPr>
            <w:r>
              <w:rPr/>
              <w:t> </w:t>
            </w:r>
          </w:p>
        </w:tc>
        <w:tc>
          <w:tcPr>
            <w:tcW w:w="1339" w:type="dxa"/>
            <w:tcBorders>
              <w:bottom w:val="single" w:sz="12" w:space="0" w:color="000000"/>
            </w:tcBorders>
            <w:shd w:fill="CCEEFF" w:val="clear"/>
            <w:vAlign w:val="center"/>
          </w:tcPr>
          <w:p>
            <w:pPr>
              <w:pStyle w:val="TableContents"/>
              <w:bidi w:val="0"/>
              <w:spacing w:before="0" w:after="283"/>
              <w:jc w:val="right"/>
              <w:rPr/>
            </w:pPr>
            <w:r>
              <w:rPr/>
              <w:t>1,700,272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78" w:type="dxa"/>
            <w:tcBorders>
              <w:bottom w:val="single" w:sz="12" w:space="0" w:color="000000"/>
            </w:tcBorders>
            <w:shd w:fill="CCEEFF" w:val="clear"/>
            <w:vAlign w:val="center"/>
          </w:tcPr>
          <w:p>
            <w:pPr>
              <w:pStyle w:val="TableContents"/>
              <w:bidi w:val="0"/>
              <w:spacing w:before="0" w:after="283"/>
              <w:jc w:val="left"/>
              <w:rPr/>
            </w:pPr>
            <w:r>
              <w:rPr/>
              <w:t> </w:t>
            </w:r>
          </w:p>
        </w:tc>
        <w:tc>
          <w:tcPr>
            <w:tcW w:w="527" w:type="dxa"/>
            <w:tcBorders>
              <w:bottom w:val="single" w:sz="12" w:space="0" w:color="000000"/>
            </w:tcBorders>
            <w:shd w:fill="CCEEFF" w:val="clear"/>
            <w:vAlign w:val="center"/>
          </w:tcPr>
          <w:p>
            <w:pPr>
              <w:pStyle w:val="TableContents"/>
              <w:bidi w:val="0"/>
              <w:spacing w:before="0" w:after="0"/>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1" w:type="dxa"/>
            <w:tcBorders>
              <w:bottom w:val="single" w:sz="12" w:space="0" w:color="000000"/>
            </w:tcBorders>
            <w:shd w:fill="CCEEFF" w:val="clear"/>
            <w:vAlign w:val="center"/>
          </w:tcPr>
          <w:p>
            <w:pPr>
              <w:pStyle w:val="TableContents"/>
              <w:bidi w:val="0"/>
              <w:spacing w:before="0" w:after="283"/>
              <w:jc w:val="left"/>
              <w:rPr/>
            </w:pPr>
            <w:r>
              <w:rPr/>
              <w:t> </w:t>
            </w:r>
          </w:p>
        </w:tc>
        <w:tc>
          <w:tcPr>
            <w:tcW w:w="939" w:type="dxa"/>
            <w:tcBorders>
              <w:bottom w:val="single" w:sz="12" w:space="0" w:color="000000"/>
            </w:tcBorders>
            <w:shd w:fill="CCEEFF" w:val="clear"/>
            <w:vAlign w:val="center"/>
          </w:tcPr>
          <w:p>
            <w:pPr>
              <w:pStyle w:val="TableContents"/>
              <w:bidi w:val="0"/>
              <w:spacing w:before="0" w:after="0"/>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010" w:type="dxa"/>
            <w:tcBorders>
              <w:bottom w:val="single" w:sz="12" w:space="0" w:color="000000"/>
            </w:tcBorders>
            <w:shd w:fill="CCEEFF" w:val="clear"/>
            <w:vAlign w:val="center"/>
          </w:tcPr>
          <w:p>
            <w:pPr>
              <w:pStyle w:val="TableContents"/>
              <w:bidi w:val="0"/>
              <w:spacing w:before="0" w:after="0"/>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 w:type="dxa"/>
            <w:tcBorders>
              <w:bottom w:val="single" w:sz="12" w:space="0" w:color="000000"/>
            </w:tcBorders>
            <w:shd w:fill="CCEEFF" w:val="clear"/>
            <w:vAlign w:val="center"/>
          </w:tcPr>
          <w:p>
            <w:pPr>
              <w:pStyle w:val="TableContents"/>
              <w:bidi w:val="0"/>
              <w:spacing w:before="0" w:after="283"/>
              <w:jc w:val="left"/>
              <w:rPr/>
            </w:pPr>
            <w:r>
              <w:rPr/>
              <w:t> </w:t>
            </w:r>
          </w:p>
        </w:tc>
        <w:tc>
          <w:tcPr>
            <w:tcW w:w="1281" w:type="dxa"/>
            <w:tcBorders>
              <w:bottom w:val="single" w:sz="12" w:space="0" w:color="000000"/>
            </w:tcBorders>
            <w:shd w:fill="CCEEFF" w:val="clear"/>
            <w:vAlign w:val="center"/>
          </w:tcPr>
          <w:p>
            <w:pPr>
              <w:pStyle w:val="TableContents"/>
              <w:bidi w:val="0"/>
              <w:spacing w:before="0" w:after="283"/>
              <w:jc w:val="right"/>
              <w:rPr/>
            </w:pPr>
            <w:r>
              <w:rPr/>
              <w:t>1,700,272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4" w:type="dxa"/>
            <w:tcBorders/>
            <w:shd w:fill="CCEEFF" w:val="clear"/>
            <w:tcMar>
              <w:bottom w:w="0" w:type="dxa"/>
            </w:tcMar>
            <w:vAlign w:val="center"/>
          </w:tcPr>
          <w:p>
            <w:pPr>
              <w:pStyle w:val="TableContents"/>
              <w:bidi w:val="0"/>
              <w:spacing w:before="0" w:after="283"/>
              <w:jc w:val="left"/>
              <w:rPr/>
            </w:pPr>
            <w:r>
              <w:rPr/>
              <w:t>$</w:t>
            </w:r>
          </w:p>
        </w:tc>
        <w:tc>
          <w:tcPr>
            <w:tcW w:w="747" w:type="dxa"/>
            <w:tcBorders/>
            <w:shd w:fill="CCEEFF" w:val="clear"/>
            <w:tcMar>
              <w:bottom w:w="0" w:type="dxa"/>
            </w:tcMar>
            <w:vAlign w:val="center"/>
          </w:tcPr>
          <w:p>
            <w:pPr>
              <w:pStyle w:val="TableContents"/>
              <w:bidi w:val="0"/>
              <w:spacing w:before="0" w:after="283"/>
              <w:jc w:val="right"/>
              <w:rPr/>
            </w:pPr>
            <w:r>
              <w:rPr/>
              <w:t>0.001</w:t>
            </w:r>
          </w:p>
        </w:tc>
        <w:tc>
          <w:tcPr>
            <w:tcW w:w="138"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2232" w:type="dxa"/>
            <w:tcBorders/>
            <w:tcMar>
              <w:bottom w:w="0" w:type="dxa"/>
            </w:tcMar>
            <w:vAlign w:val="center"/>
          </w:tcPr>
          <w:p>
            <w:pPr>
              <w:pStyle w:val="TableContents"/>
              <w:bidi w:val="0"/>
              <w:spacing w:before="0" w:after="283"/>
              <w:jc w:val="left"/>
              <w:rPr/>
            </w:pPr>
            <w:r>
              <w:rPr/>
              <w:t>Total</w:t>
            </w:r>
          </w:p>
        </w:tc>
        <w:tc>
          <w:tcPr>
            <w:tcW w:w="90" w:type="dxa"/>
            <w:tcBorders/>
            <w:tcMar>
              <w:bottom w:w="0" w:type="dxa"/>
            </w:tcMar>
            <w:vAlign w:val="center"/>
          </w:tcPr>
          <w:p>
            <w:pPr>
              <w:pStyle w:val="TableContents"/>
              <w:bidi w:val="0"/>
              <w:spacing w:before="0" w:after="283"/>
              <w:jc w:val="left"/>
              <w:rPr/>
            </w:pPr>
            <w:r>
              <w:rPr/>
              <w:t> </w:t>
            </w:r>
          </w:p>
        </w:tc>
        <w:tc>
          <w:tcPr>
            <w:tcW w:w="106" w:type="dxa"/>
            <w:tcBorders>
              <w:bottom w:val="double" w:sz="10" w:space="0" w:color="000000"/>
            </w:tcBorders>
            <w:vAlign w:val="center"/>
          </w:tcPr>
          <w:p>
            <w:pPr>
              <w:pStyle w:val="TableContents"/>
              <w:bidi w:val="0"/>
              <w:spacing w:before="0" w:after="283"/>
              <w:jc w:val="left"/>
              <w:rPr/>
            </w:pPr>
            <w:r>
              <w:rPr/>
              <w:t> </w:t>
            </w:r>
          </w:p>
        </w:tc>
        <w:tc>
          <w:tcPr>
            <w:tcW w:w="1339" w:type="dxa"/>
            <w:tcBorders>
              <w:bottom w:val="double" w:sz="10" w:space="0" w:color="000000"/>
            </w:tcBorders>
            <w:vAlign w:val="center"/>
          </w:tcPr>
          <w:p>
            <w:pPr>
              <w:pStyle w:val="TableContents"/>
              <w:bidi w:val="0"/>
              <w:spacing w:before="0" w:after="283"/>
              <w:jc w:val="right"/>
              <w:rPr/>
            </w:pPr>
            <w:r>
              <w:rPr/>
              <w:t>13,518,652</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78" w:type="dxa"/>
            <w:tcBorders>
              <w:bottom w:val="double" w:sz="10" w:space="0" w:color="000000"/>
            </w:tcBorders>
            <w:vAlign w:val="center"/>
          </w:tcPr>
          <w:p>
            <w:pPr>
              <w:pStyle w:val="TableContents"/>
              <w:bidi w:val="0"/>
              <w:spacing w:before="0" w:after="283"/>
              <w:jc w:val="left"/>
              <w:rPr/>
            </w:pPr>
            <w:r>
              <w:rPr/>
              <w:t> </w:t>
            </w:r>
          </w:p>
        </w:tc>
        <w:tc>
          <w:tcPr>
            <w:tcW w:w="527" w:type="dxa"/>
            <w:tcBorders>
              <w:bottom w:val="double" w:sz="10" w:space="0" w:color="000000"/>
            </w:tcBorders>
            <w:vAlign w:val="center"/>
          </w:tcPr>
          <w:p>
            <w:pPr>
              <w:pStyle w:val="TableContents"/>
              <w:bidi w:val="0"/>
              <w:spacing w:before="0" w:after="0"/>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1" w:type="dxa"/>
            <w:tcBorders>
              <w:bottom w:val="double" w:sz="10" w:space="0" w:color="000000"/>
            </w:tcBorders>
            <w:vAlign w:val="center"/>
          </w:tcPr>
          <w:p>
            <w:pPr>
              <w:pStyle w:val="TableContents"/>
              <w:bidi w:val="0"/>
              <w:spacing w:before="0" w:after="283"/>
              <w:jc w:val="left"/>
              <w:rPr/>
            </w:pPr>
            <w:r>
              <w:rPr/>
              <w:t> </w:t>
            </w:r>
          </w:p>
        </w:tc>
        <w:tc>
          <w:tcPr>
            <w:tcW w:w="939" w:type="dxa"/>
            <w:tcBorders>
              <w:bottom w:val="double" w:sz="10" w:space="0" w:color="000000"/>
            </w:tcBorders>
            <w:vAlign w:val="center"/>
          </w:tcPr>
          <w:p>
            <w:pPr>
              <w:pStyle w:val="TableContents"/>
              <w:bidi w:val="0"/>
              <w:spacing w:before="0" w:after="283"/>
              <w:jc w:val="right"/>
              <w:rPr/>
            </w:pPr>
            <w:r>
              <w:rPr/>
              <w:t>370,000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bottom w:val="double" w:sz="10" w:space="0" w:color="000000"/>
            </w:tcBorders>
            <w:vAlign w:val="center"/>
          </w:tcPr>
          <w:p>
            <w:pPr>
              <w:pStyle w:val="TableContents"/>
              <w:bidi w:val="0"/>
              <w:spacing w:before="0" w:after="283"/>
              <w:jc w:val="left"/>
              <w:rPr/>
            </w:pPr>
            <w:r>
              <w:rPr/>
              <w:t> </w:t>
            </w:r>
          </w:p>
        </w:tc>
        <w:tc>
          <w:tcPr>
            <w:tcW w:w="1010" w:type="dxa"/>
            <w:tcBorders>
              <w:bottom w:val="double" w:sz="10" w:space="0" w:color="000000"/>
            </w:tcBorders>
            <w:vAlign w:val="center"/>
          </w:tcPr>
          <w:p>
            <w:pPr>
              <w:pStyle w:val="TableContents"/>
              <w:bidi w:val="0"/>
              <w:spacing w:before="0" w:after="283"/>
              <w:jc w:val="right"/>
              <w:rPr/>
            </w:pPr>
            <w:r>
              <w:rPr/>
              <w:t>9,748,380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3" w:type="dxa"/>
            <w:tcBorders>
              <w:bottom w:val="double" w:sz="10" w:space="0" w:color="000000"/>
            </w:tcBorders>
            <w:vAlign w:val="center"/>
          </w:tcPr>
          <w:p>
            <w:pPr>
              <w:pStyle w:val="TableContents"/>
              <w:bidi w:val="0"/>
              <w:spacing w:before="0" w:after="283"/>
              <w:jc w:val="left"/>
              <w:rPr/>
            </w:pPr>
            <w:r>
              <w:rPr/>
              <w:t> </w:t>
            </w:r>
          </w:p>
        </w:tc>
        <w:tc>
          <w:tcPr>
            <w:tcW w:w="1281" w:type="dxa"/>
            <w:tcBorders>
              <w:bottom w:val="double" w:sz="10" w:space="0" w:color="000000"/>
            </w:tcBorders>
            <w:vAlign w:val="center"/>
          </w:tcPr>
          <w:p>
            <w:pPr>
              <w:pStyle w:val="TableContents"/>
              <w:bidi w:val="0"/>
              <w:spacing w:before="0" w:after="283"/>
              <w:jc w:val="right"/>
              <w:rPr/>
            </w:pPr>
            <w:r>
              <w:rPr/>
              <w:t>3,400,272</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14" w:type="dxa"/>
            <w:tcBorders/>
            <w:tcMar>
              <w:bottom w:w="0" w:type="dxa"/>
            </w:tcMar>
            <w:vAlign w:val="center"/>
          </w:tcPr>
          <w:p>
            <w:pPr>
              <w:pStyle w:val="TableContents"/>
              <w:bidi w:val="0"/>
              <w:spacing w:before="0" w:after="283"/>
              <w:jc w:val="left"/>
              <w:rPr/>
            </w:pPr>
            <w:r>
              <w:rPr/>
              <w:t> </w:t>
            </w:r>
          </w:p>
        </w:tc>
        <w:tc>
          <w:tcPr>
            <w:tcW w:w="747" w:type="dxa"/>
            <w:tcBorders/>
            <w:tcMar>
              <w:bottom w:w="0" w:type="dxa"/>
            </w:tcMar>
            <w:vAlign w:val="center"/>
          </w:tcPr>
          <w:p>
            <w:pPr>
              <w:pStyle w:val="TableContents"/>
              <w:bidi w:val="0"/>
              <w:spacing w:before="0" w:after="283"/>
              <w:jc w:val="right"/>
              <w:rPr/>
            </w:pPr>
            <w:r>
              <w:rPr/>
              <w:t> </w:t>
            </w:r>
          </w:p>
        </w:tc>
        <w:tc>
          <w:tcPr>
            <w:tcW w:w="138"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Protara Therapeutics,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(amounts in thousands, except share and per share data)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Stock-Based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2014 Equity Incentive Plan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3, 2014, the stockholders approved the 2014 Equity Incentive Plan. On June 20, 2017, the Company’s Board of Directors amended the 2014 Equity Incentive Plan, or the Amended and Restated 2014 Plan.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Amended and Restated 2014 Plan, as amended, provides for the grant of incentive and non-statutory stock options, stock appreciation rights, restricted stock and stock unit awards, performance units, stock grants and qualified performance-based awards. The total number of shares authorized was 4,474,683 shares. As of June 7, 2024, in connection with the creation of the 2024 Equity Incentive Plan, or the 2024 Plan, no additional awards will be made under the Amended and Restated 2014 Plan, as amended.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there were 3,221,520 shares of common stock subject to outstanding awards under the Amended and Restated 2014 Plan, as amended.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2017 Equity Incentive Plan</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10, 2017, ArTara Subsidiary, Inc. (a predecessor of the Company), or Private ArTara, along with its Board of Directors and its stockholders approved the ArTara Therapeutics, Inc. 2017 Equity Incentive Plan, or the 2017 Plan, to enable Private ArTara and its affiliates to recruit and retain highly qualified personnel and to incentivize personnel for productivity and growth.</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number of shares authorized under the 2017 Plan was 2,000,000 for the issuance of stock options, stock appreciation rights, restricted stock and restricted stock units, or RSUs, to among others, members of the Board of Directors, employees, consultants and service providers to the Company and its affiliates. As of January 9, 2020 no additional awards will be made under the 2017 Plan.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there were 134,328 shares of common stock subject to outstanding awards under the 2017 Plan.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2020 Inducement Plan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26, 2020, the Compensation Committee of the Board of Directors, or the Compensation Committee, approved the 2020 Inducement Plan, or the 2020 Plan, in order to award non-statutory stock options, restricted stock awards, restricted stock unit awards and other stock-based awards to persons not previously an employee or director of the Company, or following a bona fide period of non-employment, as an inducement material to such persons entering into employment with the Company. The Compensation Committee also adopted a form of stock option grant notice and stock option agreement and forms of restricted stock unit grant notice and restricted stock unit agreement for use with the 2020 Plan.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2020 Plan provided for a total of 600,000 shares for the issuance of the Company’s common stock. On March 3, 2025, the Compensation Committee approved a Certificate of First Amendment to the 2020 Plan, or the Amended 2020 Plan, to increase the number of shares provided for under the Amended 2020 Plan by 600,000 shares to 1,200,000 shares.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40" w:right="0" w:firstLine="3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there were 980,098 shares of common stock subject to outstanding awards and 185,740 shares of common stock available for future issuance under the Amended 2020 Plan.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2024 Equity Incentive Plan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7, 2024, the stockholders approved the 2024 Plan. The 2024 Plan provided for the grant of 1,500,000 shares of common stock for stock options, stock appreciation rights, restricted stock, RSUs, performance units, performance shares and other stock and cash awards. On June 11, 2025, the stockholders approved an amendment to the 2024 Plan increasing the number of shares available for grant under the 2024 Plan by 2,800,000 shares to 4,300,000 shares. On June 12, 2026, the stockholders approved an amendment to the 2024 Plan, or the Amended 2024 Plan, increasing the number of shares available for grant under the Amended 2024 Plan by 5,000,000 shares to 9,300,000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Terms of the stock awards, including vesting requirements, are determined by the Board of Directors, or the Compensation Committee thereof, subject to the provisions of the Amended 2024 Plan.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Protara Therapeutics,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(amounts in thousands, except share and per share data)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there were 4,129,936 shares of common stock subject to outstanding awards and 5,093,541 shares of common stock available for future issuance under the Amended 2024 Plan.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2024 Employee Stock Purchase Plan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7, 2024, the stockholders of the Company approved the 2024 Employee Stock Purchase Plan, or the 2024 ESPP. The number of shares authorized under the 2024 ESPP is 1,000,000.</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number of shares available for issuance under the 2024 ESPP was 1,000,000. During the three and six months ended June 30, 2026, no shares were issued under the 2024 ESPP.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Restricted Stock Units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restricted stock unit activity for the six months ended June 30, 2026:</w:t>
      </w:r>
    </w:p>
    <w:p>
      <w:pPr>
        <w:pStyle w:val="TextBody"/>
        <w:bidi w:val="0"/>
        <w:spacing w:before="0" w:after="0"/>
        <w:ind w:left="0" w:right="0" w:firstLine="360"/>
        <w:jc w:val="both"/>
        <w:rPr>
          <w:caps w:val="false"/>
          <w:smallCaps w:val="false"/>
        </w:rPr>
      </w:pPr>
      <w:r>
        <w:rPr>
          <w:caps w:val="false"/>
          <w:smallCaps w:val="false"/>
        </w:rPr>
        <w:t> </w:t>
      </w:r>
    </w:p>
    <w:tbl>
      <w:tblPr>
        <w:tblW w:w="5360" w:type="dxa"/>
        <w:jc w:val="left"/>
        <w:tblInd w:w="0" w:type="dxa"/>
        <w:tblLayout w:type="fixed"/>
        <w:tblCellMar>
          <w:top w:w="0" w:type="dxa"/>
          <w:left w:w="0" w:type="dxa"/>
          <w:bottom w:w="0" w:type="dxa"/>
          <w:right w:w="0" w:type="dxa"/>
        </w:tblCellMar>
      </w:tblPr>
      <w:tblGrid>
        <w:gridCol w:w="3035"/>
        <w:gridCol w:w="90"/>
        <w:gridCol w:w="93"/>
        <w:gridCol w:w="812"/>
        <w:gridCol w:w="110"/>
        <w:gridCol w:w="90"/>
        <w:gridCol w:w="272"/>
        <w:gridCol w:w="723"/>
        <w:gridCol w:w="135"/>
      </w:tblGrid>
      <w:tr>
        <w:trPr/>
        <w:tc>
          <w:tcPr>
            <w:tcW w:w="30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Restricted</w:t>
              <w:br/>
              <w:t xml:space="preserve">Stock </w:t>
              <w:br/>
              <w:t>Units</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Weighted</w:t>
              <w:br/>
              <w:t>Average</w:t>
              <w:br/>
              <w:t>Grant Date</w:t>
              <w:br/>
              <w:t>Fair Value</w:t>
            </w:r>
          </w:p>
        </w:tc>
        <w:tc>
          <w:tcPr>
            <w:tcW w:w="135" w:type="dxa"/>
            <w:tcBorders/>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Non-vested as of December 31, 2025</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81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571,145</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2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3.57</w:t>
            </w:r>
          </w:p>
        </w:tc>
        <w:tc>
          <w:tcPr>
            <w:tcW w:w="135" w:type="dxa"/>
            <w:tcBorders/>
            <w:shd w:fill="CCEEFF" w:val="clear"/>
            <w:vAlign w:val="center"/>
          </w:tcPr>
          <w:p>
            <w:pPr>
              <w:pStyle w:val="TableContents"/>
              <w:bidi w:val="0"/>
              <w:spacing w:before="0" w:after="283"/>
              <w:jc w:val="left"/>
              <w:rPr/>
            </w:pPr>
            <w:r>
              <w:rPr/>
              <w:t> </w:t>
            </w:r>
          </w:p>
        </w:tc>
      </w:tr>
      <w:tr>
        <w:trPr/>
        <w:tc>
          <w:tcPr>
            <w:tcW w:w="30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Granted</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812"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427,180</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5.02</w:t>
            </w:r>
          </w:p>
        </w:tc>
        <w:tc>
          <w:tcPr>
            <w:tcW w:w="135" w:type="dxa"/>
            <w:tcBorders/>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Forfeited</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81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(81,082</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4.38</w:t>
            </w:r>
          </w:p>
        </w:tc>
        <w:tc>
          <w:tcPr>
            <w:tcW w:w="135" w:type="dxa"/>
            <w:tcBorders/>
            <w:shd w:fill="CCEEFF" w:val="clear"/>
            <w:vAlign w:val="center"/>
          </w:tcPr>
          <w:p>
            <w:pPr>
              <w:pStyle w:val="TableContents"/>
              <w:bidi w:val="0"/>
              <w:spacing w:before="0" w:after="283"/>
              <w:jc w:val="left"/>
              <w:rPr/>
            </w:pPr>
            <w:r>
              <w:rPr/>
              <w:t> </w:t>
            </w:r>
          </w:p>
        </w:tc>
      </w:tr>
      <w:tr>
        <w:trPr/>
        <w:tc>
          <w:tcPr>
            <w:tcW w:w="30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Vested</w:t>
            </w:r>
          </w:p>
        </w:tc>
        <w:tc>
          <w:tcPr>
            <w:tcW w:w="90" w:type="dxa"/>
            <w:tcBorders/>
            <w:vAlign w:val="center"/>
          </w:tcPr>
          <w:p>
            <w:pPr>
              <w:pStyle w:val="TableContents"/>
              <w:bidi w:val="0"/>
              <w:spacing w:before="0" w:after="283"/>
              <w:jc w:val="left"/>
              <w:rPr/>
            </w:pPr>
            <w:r>
              <w:rPr/>
              <w:t> </w:t>
            </w:r>
          </w:p>
        </w:tc>
        <w:tc>
          <w:tcPr>
            <w:tcW w:w="93" w:type="dxa"/>
            <w:tcBorders>
              <w:bottom w:val="single" w:sz="12" w:space="0" w:color="000000"/>
            </w:tcBorders>
            <w:tcMar>
              <w:bottom w:w="28" w:type="dxa"/>
            </w:tcMar>
            <w:vAlign w:val="center"/>
          </w:tcPr>
          <w:p>
            <w:pPr>
              <w:pStyle w:val="TableContents"/>
              <w:bidi w:val="0"/>
              <w:spacing w:before="0" w:after="283"/>
              <w:jc w:val="left"/>
              <w:rPr/>
            </w:pPr>
            <w:r>
              <w:rPr/>
              <w:t> </w:t>
            </w:r>
          </w:p>
        </w:tc>
        <w:tc>
          <w:tcPr>
            <w:tcW w:w="812"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(217,475</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272" w:type="dxa"/>
            <w:tcBorders>
              <w:bottom w:val="single" w:sz="12" w:space="0" w:color="000000"/>
            </w:tcBorders>
            <w:tcMar>
              <w:bottom w:w="28" w:type="dxa"/>
            </w:tcMar>
            <w:vAlign w:val="center"/>
          </w:tcPr>
          <w:p>
            <w:pPr>
              <w:pStyle w:val="TableContents"/>
              <w:bidi w:val="0"/>
              <w:spacing w:before="0" w:after="283"/>
              <w:jc w:val="left"/>
              <w:rPr/>
            </w:pPr>
            <w:r>
              <w:rPr/>
              <w:t> </w:t>
            </w:r>
          </w:p>
        </w:tc>
        <w:tc>
          <w:tcPr>
            <w:tcW w:w="723"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3.38</w:t>
            </w:r>
          </w:p>
        </w:tc>
        <w:tc>
          <w:tcPr>
            <w:tcW w:w="135" w:type="dxa"/>
            <w:tcBorders/>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Non-vested as of June 30, 2026</w:t>
            </w:r>
          </w:p>
        </w:tc>
        <w:tc>
          <w:tcPr>
            <w:tcW w:w="90" w:type="dxa"/>
            <w:tcBorders/>
            <w:shd w:fill="CCEEFF" w:val="clear"/>
            <w:vAlign w:val="center"/>
          </w:tcPr>
          <w:p>
            <w:pPr>
              <w:pStyle w:val="TableContents"/>
              <w:bidi w:val="0"/>
              <w:spacing w:before="0" w:after="283"/>
              <w:jc w:val="left"/>
              <w:rPr/>
            </w:pPr>
            <w:r>
              <w:rPr/>
              <w:t> </w:t>
            </w:r>
          </w:p>
        </w:tc>
        <w:tc>
          <w:tcPr>
            <w:tcW w:w="93" w:type="dxa"/>
            <w:tcBorders>
              <w:bottom w:val="double" w:sz="12" w:space="0" w:color="000000"/>
            </w:tcBorders>
            <w:shd w:fill="CCEEFF" w:val="clear"/>
            <w:tcMar>
              <w:bottom w:w="28" w:type="dxa"/>
            </w:tcMar>
            <w:vAlign w:val="center"/>
          </w:tcPr>
          <w:p>
            <w:pPr>
              <w:pStyle w:val="TableContents"/>
              <w:bidi w:val="0"/>
              <w:spacing w:before="0" w:after="283"/>
              <w:jc w:val="left"/>
              <w:rPr/>
            </w:pPr>
            <w:r>
              <w:rPr/>
              <w:t> </w:t>
            </w:r>
          </w:p>
        </w:tc>
        <w:tc>
          <w:tcPr>
            <w:tcW w:w="812" w:type="dxa"/>
            <w:tcBorders>
              <w:bottom w:val="doub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699,768</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bottom w:val="doub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23" w:type="dxa"/>
            <w:tcBorders>
              <w:bottom w:val="doub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4.42</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RSUs is amortized on a straight-line basis over the requisite service period of the respective awards. As of June 30, 2026, the unamortized value of RSUs was $2,549. As of June 30, 2026, the weighted average remaining amortization period was 2.09 years. As of June 30, 2026 and December 31, 2025, 289,500 RSUs have vested but have not yet been settled into shares of the Company’s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2026, the Company issued 166,198 shares of the Company’s common stock from the net settlement of 217,475 RSUs. The Company paid $298 in connection with the net share settlement of these RSUs.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Stock Options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stock option activity for the six months ended June 30, 2026:</w:t>
      </w:r>
    </w:p>
    <w:p>
      <w:pPr>
        <w:pStyle w:val="TextBody"/>
        <w:bidi w:val="0"/>
        <w:spacing w:before="0" w:after="0"/>
        <w:ind w:left="0" w:right="0" w:firstLine="360"/>
        <w:jc w:val="both"/>
        <w:rPr>
          <w:caps w:val="false"/>
          <w:smallCaps w:val="false"/>
        </w:rPr>
      </w:pPr>
      <w:r>
        <w:rPr>
          <w:caps w:val="false"/>
          <w:smallCaps w:val="false"/>
        </w:rPr>
        <w:t> </w:t>
      </w:r>
    </w:p>
    <w:tbl>
      <w:tblPr>
        <w:tblW w:w="8325" w:type="dxa"/>
        <w:jc w:val="left"/>
        <w:tblInd w:w="0" w:type="dxa"/>
        <w:tblLayout w:type="fixed"/>
        <w:tblCellMar>
          <w:top w:w="0" w:type="dxa"/>
          <w:left w:w="0" w:type="dxa"/>
          <w:bottom w:w="0" w:type="dxa"/>
          <w:right w:w="0" w:type="dxa"/>
        </w:tblCellMar>
      </w:tblPr>
      <w:tblGrid>
        <w:gridCol w:w="3710"/>
        <w:gridCol w:w="90"/>
        <w:gridCol w:w="90"/>
        <w:gridCol w:w="875"/>
        <w:gridCol w:w="110"/>
        <w:gridCol w:w="90"/>
        <w:gridCol w:w="235"/>
        <w:gridCol w:w="625"/>
        <w:gridCol w:w="90"/>
        <w:gridCol w:w="90"/>
        <w:gridCol w:w="192"/>
        <w:gridCol w:w="878"/>
        <w:gridCol w:w="90"/>
        <w:gridCol w:w="90"/>
        <w:gridCol w:w="216"/>
        <w:gridCol w:w="719"/>
        <w:gridCol w:w="135"/>
      </w:tblGrid>
      <w:tr>
        <w:trPr/>
        <w:tc>
          <w:tcPr>
            <w:tcW w:w="371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6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Options</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Weighted</w:t>
              <w:br/>
              <w:t>Average</w:t>
              <w:br/>
              <w:t>Exercise</w:t>
              <w:br/>
              <w:t>Price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Weighted</w:t>
              <w:br/>
              <w:t>Average</w:t>
              <w:br/>
              <w:t>Remaining</w:t>
              <w:br/>
              <w:t>Contractual</w:t>
              <w:br/>
              <w:t>Term</w:t>
              <w:br/>
              <w:t>(years)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Aggregate</w:t>
              <w:br/>
              <w:t>Intrinsic</w:t>
              <w:br/>
              <w:t>Value</w:t>
            </w:r>
            <w:r>
              <w:rPr>
                <w:rFonts w:ascii="Times New Roman;Times;Serif" w:hAnsi="Times New Roman;Times;Serif"/>
                <w:b/>
                <w:position w:val="7"/>
                <w:sz w:val="16"/>
                <w:sz w:val="20"/>
              </w:rPr>
              <w:t>(1)</w:t>
            </w:r>
          </w:p>
        </w:tc>
        <w:tc>
          <w:tcPr>
            <w:tcW w:w="135" w:type="dxa"/>
            <w:tcBorders/>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Outstanding as of December 31, 2025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5,693,891</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6.30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87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1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8,982</w:t>
            </w:r>
          </w:p>
        </w:tc>
        <w:tc>
          <w:tcPr>
            <w:tcW w:w="135" w:type="dxa"/>
            <w:tcBorders/>
            <w:shd w:fill="CCEEFF" w:val="clear"/>
            <w:vAlign w:val="center"/>
          </w:tcPr>
          <w:p>
            <w:pPr>
              <w:pStyle w:val="TableContents"/>
              <w:bidi w:val="0"/>
              <w:spacing w:before="0" w:after="283"/>
              <w:jc w:val="left"/>
              <w:rPr/>
            </w:pPr>
            <w:r>
              <w:rPr/>
              <w:t> </w:t>
            </w:r>
          </w:p>
        </w:tc>
      </w:tr>
      <w:tr>
        <w:trPr/>
        <w:tc>
          <w:tcPr>
            <w:tcW w:w="37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Granted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2,307,560</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6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878"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719"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Exercised</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(215,687</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62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878"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719"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37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Forfeited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(309,150</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6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878"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719"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Expired</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62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87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71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35" w:type="dxa"/>
            <w:tcBorders/>
            <w:shd w:fill="CCEEFF" w:val="clear"/>
            <w:vAlign w:val="center"/>
          </w:tcPr>
          <w:p>
            <w:pPr>
              <w:pStyle w:val="TableContents"/>
              <w:bidi w:val="0"/>
              <w:spacing w:before="0" w:after="283"/>
              <w:jc w:val="left"/>
              <w:rPr/>
            </w:pPr>
            <w:r>
              <w:rPr/>
              <w:t> </w:t>
            </w:r>
          </w:p>
        </w:tc>
      </w:tr>
      <w:tr>
        <w:trPr/>
        <w:tc>
          <w:tcPr>
            <w:tcW w:w="37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Outstanding as of June 30, 2026</w:t>
            </w:r>
          </w:p>
        </w:tc>
        <w:tc>
          <w:tcPr>
            <w:tcW w:w="90" w:type="dxa"/>
            <w:tcBorders/>
            <w:vAlign w:val="center"/>
          </w:tcPr>
          <w:p>
            <w:pPr>
              <w:pStyle w:val="TableContents"/>
              <w:bidi w:val="0"/>
              <w:spacing w:before="0" w:after="283"/>
              <w:jc w:val="left"/>
              <w:rPr/>
            </w:pPr>
            <w:r>
              <w:rPr/>
              <w:t> </w:t>
            </w:r>
          </w:p>
        </w:tc>
        <w:tc>
          <w:tcPr>
            <w:tcW w:w="90" w:type="dxa"/>
            <w:tcBorders>
              <w:bottom w:val="double" w:sz="12" w:space="0" w:color="000000"/>
            </w:tcBorders>
            <w:tcMar>
              <w:bottom w:w="28" w:type="dxa"/>
            </w:tcMar>
            <w:vAlign w:val="center"/>
          </w:tcPr>
          <w:p>
            <w:pPr>
              <w:pStyle w:val="TableContents"/>
              <w:bidi w:val="0"/>
              <w:spacing w:before="0" w:after="283"/>
              <w:jc w:val="left"/>
              <w:rPr/>
            </w:pPr>
            <w:r>
              <w:rPr/>
              <w:t> </w:t>
            </w:r>
          </w:p>
        </w:tc>
        <w:tc>
          <w:tcPr>
            <w:tcW w:w="875" w:type="dxa"/>
            <w:tcBorders>
              <w:bottom w:val="doub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7,476,614</w:t>
            </w:r>
          </w:p>
        </w:tc>
        <w:tc>
          <w:tcPr>
            <w:tcW w:w="11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23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6.06</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192" w:type="dxa"/>
            <w:tcBorders/>
            <w:vAlign w:val="center"/>
          </w:tcPr>
          <w:p>
            <w:pPr>
              <w:pStyle w:val="TableContents"/>
              <w:bidi w:val="0"/>
              <w:spacing w:before="0" w:after="283"/>
              <w:jc w:val="right"/>
              <w:rPr/>
            </w:pPr>
            <w:r>
              <w:rPr/>
              <w:t> </w:t>
            </w:r>
          </w:p>
        </w:tc>
        <w:tc>
          <w:tcPr>
            <w:tcW w:w="878"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7.66</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21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19"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2,987</w:t>
            </w:r>
          </w:p>
        </w:tc>
        <w:tc>
          <w:tcPr>
            <w:tcW w:w="135" w:type="dxa"/>
            <w:tcBorders/>
            <w:vAlign w:val="center"/>
          </w:tcPr>
          <w:p>
            <w:pPr>
              <w:pStyle w:val="TableContents"/>
              <w:bidi w:val="0"/>
              <w:spacing w:before="0" w:after="283"/>
              <w:jc w:val="right"/>
              <w:rPr/>
            </w:pPr>
            <w:r>
              <w:rPr/>
              <w:t> </w:t>
            </w:r>
          </w:p>
        </w:tc>
      </w:tr>
      <w:tr>
        <w:trPr/>
        <w:tc>
          <w:tcPr>
            <w:tcW w:w="37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235" w:type="dxa"/>
            <w:tcBorders/>
            <w:shd w:fill="CCEEFF" w:val="clear"/>
            <w:vAlign w:val="center"/>
          </w:tcPr>
          <w:p>
            <w:pPr>
              <w:pStyle w:val="TableContents"/>
              <w:bidi w:val="0"/>
              <w:spacing w:before="0" w:after="283"/>
              <w:jc w:val="right"/>
              <w:rPr/>
            </w:pPr>
            <w:r>
              <w:rPr/>
              <w:t> </w:t>
            </w:r>
          </w:p>
        </w:tc>
        <w:tc>
          <w:tcPr>
            <w:tcW w:w="62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192" w:type="dxa"/>
            <w:tcBorders/>
            <w:shd w:fill="CCEEFF" w:val="clear"/>
            <w:vAlign w:val="center"/>
          </w:tcPr>
          <w:p>
            <w:pPr>
              <w:pStyle w:val="TableContents"/>
              <w:bidi w:val="0"/>
              <w:spacing w:before="0" w:after="283"/>
              <w:jc w:val="right"/>
              <w:rPr/>
            </w:pPr>
            <w:r>
              <w:rPr/>
              <w:t> </w:t>
            </w:r>
          </w:p>
        </w:tc>
        <w:tc>
          <w:tcPr>
            <w:tcW w:w="878"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216" w:type="dxa"/>
            <w:tcBorders/>
            <w:shd w:fill="CCEEFF" w:val="clear"/>
            <w:vAlign w:val="center"/>
          </w:tcPr>
          <w:p>
            <w:pPr>
              <w:pStyle w:val="TableContents"/>
              <w:bidi w:val="0"/>
              <w:spacing w:before="0" w:after="283"/>
              <w:jc w:val="right"/>
              <w:rPr/>
            </w:pPr>
            <w:r>
              <w:rPr/>
              <w:t> </w:t>
            </w:r>
          </w:p>
        </w:tc>
        <w:tc>
          <w:tcPr>
            <w:tcW w:w="719"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right"/>
              <w:rPr/>
            </w:pPr>
            <w:r>
              <w:rPr/>
              <w:t> </w:t>
            </w:r>
          </w:p>
        </w:tc>
      </w:tr>
      <w:tr>
        <w:trPr/>
        <w:tc>
          <w:tcPr>
            <w:tcW w:w="37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Vested and expected to vest at June 30, 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7,476,614</w:t>
            </w:r>
          </w:p>
        </w:tc>
        <w:tc>
          <w:tcPr>
            <w:tcW w:w="11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23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6.06</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192" w:type="dxa"/>
            <w:tcBorders/>
            <w:vAlign w:val="center"/>
          </w:tcPr>
          <w:p>
            <w:pPr>
              <w:pStyle w:val="TableContents"/>
              <w:bidi w:val="0"/>
              <w:spacing w:before="0" w:after="283"/>
              <w:jc w:val="right"/>
              <w:rPr/>
            </w:pPr>
            <w:r>
              <w:rPr/>
              <w:t> </w:t>
            </w:r>
          </w:p>
        </w:tc>
        <w:tc>
          <w:tcPr>
            <w:tcW w:w="878"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7.66</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right"/>
              <w:rPr/>
            </w:pPr>
            <w:r>
              <w:rPr/>
              <w:t> </w:t>
            </w:r>
          </w:p>
        </w:tc>
        <w:tc>
          <w:tcPr>
            <w:tcW w:w="21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19"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2,987</w:t>
            </w:r>
          </w:p>
        </w:tc>
        <w:tc>
          <w:tcPr>
            <w:tcW w:w="135" w:type="dxa"/>
            <w:tcBorders/>
            <w:vAlign w:val="center"/>
          </w:tcPr>
          <w:p>
            <w:pPr>
              <w:pStyle w:val="TableContents"/>
              <w:bidi w:val="0"/>
              <w:spacing w:before="0" w:after="283"/>
              <w:jc w:val="right"/>
              <w:rPr/>
            </w:pPr>
            <w:r>
              <w:rPr/>
              <w:t> </w:t>
            </w:r>
          </w:p>
        </w:tc>
      </w:tr>
      <w:tr>
        <w:trPr/>
        <w:tc>
          <w:tcPr>
            <w:tcW w:w="37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Exercisable as of June 30, 2026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3,668,578</w:t>
            </w:r>
          </w:p>
        </w:tc>
        <w:tc>
          <w:tcPr>
            <w:tcW w:w="11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235" w:type="dxa"/>
            <w:tcBorders/>
            <w:shd w:fill="CCEEFF" w:val="clear"/>
            <w:vAlign w:val="center"/>
          </w:tcPr>
          <w:p>
            <w:pPr>
              <w:pStyle w:val="TableContents"/>
              <w:bidi w:val="0"/>
              <w:spacing w:before="0" w:after="283"/>
              <w:jc w:val="right"/>
              <w:rPr/>
            </w:pPr>
            <w:r>
              <w:rPr/>
              <w:t> </w:t>
            </w:r>
          </w:p>
        </w:tc>
        <w:tc>
          <w:tcPr>
            <w:tcW w:w="62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7.90</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192" w:type="dxa"/>
            <w:tcBorders/>
            <w:shd w:fill="CCEEFF" w:val="clear"/>
            <w:vAlign w:val="center"/>
          </w:tcPr>
          <w:p>
            <w:pPr>
              <w:pStyle w:val="TableContents"/>
              <w:bidi w:val="0"/>
              <w:spacing w:before="0" w:after="283"/>
              <w:jc w:val="right"/>
              <w:rPr/>
            </w:pPr>
            <w:r>
              <w:rPr/>
              <w:t> </w:t>
            </w:r>
          </w:p>
        </w:tc>
        <w:tc>
          <w:tcPr>
            <w:tcW w:w="87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6.27</w:t>
            </w:r>
          </w:p>
        </w:tc>
        <w:tc>
          <w:tcPr>
            <w:tcW w:w="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right"/>
              <w:rPr/>
            </w:pPr>
            <w:r>
              <w:rPr/>
              <w:t> </w:t>
            </w:r>
          </w:p>
        </w:tc>
        <w:tc>
          <w:tcPr>
            <w:tcW w:w="216" w:type="dxa"/>
            <w:tcBorders/>
            <w:shd w:fill="CCEEFF" w:val="clear"/>
            <w:vAlign w:val="center"/>
          </w:tcPr>
          <w:p>
            <w:pPr>
              <w:pStyle w:val="TableContents"/>
              <w:bidi w:val="0"/>
              <w:spacing w:before="0" w:after="283"/>
              <w:jc w:val="right"/>
              <w:rPr/>
            </w:pPr>
            <w:r>
              <w:rPr/>
              <w:t> </w:t>
            </w:r>
          </w:p>
        </w:tc>
        <w:tc>
          <w:tcPr>
            <w:tcW w:w="71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1,858</w:t>
            </w:r>
          </w:p>
        </w:tc>
        <w:tc>
          <w:tcPr>
            <w:tcW w:w="135" w:type="dxa"/>
            <w:tcBorders/>
            <w:shd w:fill="CCEEFF" w:val="clear"/>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55" w:type="dxa"/>
            <w:tcBorders/>
            <w:vAlign w:val="center"/>
          </w:tcPr>
          <w:p>
            <w:pPr>
              <w:pStyle w:val="TableContents"/>
              <w:bidi w:val="0"/>
              <w:spacing w:before="0" w:after="283"/>
              <w:jc w:val="both"/>
              <w:rPr/>
            </w:pPr>
            <w:r>
              <w:rPr/>
              <w:t>Aggregate intrinsic value represents the difference between the exercise price of the option and the closing market price of our common stock on December 31, 2025 and June 30, 2026, respectively. The intrinsic value of options exercised during the six months ended June 30, 2026 was $485.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Protara Therapeutics,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(amounts in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weighted average grant date fair value per share of the options granted during the six months ended June 30, 2026 and 2025 was $3.46 and $3.02, respectively. As of June 30, 2026, there was approximately $10,873 of unrecognized stock-based compensation for unvested stock option grants, which is expected to be recognized over a weighted average period of 2.72 years. The total unrecognized stock-based compensation cost will be adjusted for actual forfeitures as they occur.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Summary of Stock-Based Compensation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summarize total stock-based compensation costs recognized:</w:t>
      </w:r>
    </w:p>
    <w:p>
      <w:pPr>
        <w:pStyle w:val="TextBody"/>
        <w:bidi w:val="0"/>
        <w:spacing w:before="0" w:after="0"/>
        <w:ind w:left="0" w:right="0" w:firstLine="360"/>
        <w:jc w:val="both"/>
        <w:rPr>
          <w:caps w:val="false"/>
          <w:smallCaps w:val="false"/>
        </w:rPr>
      </w:pPr>
      <w:r>
        <w:rPr>
          <w:caps w:val="false"/>
          <w:smallCaps w:val="false"/>
        </w:rPr>
        <w:t> </w:t>
      </w:r>
    </w:p>
    <w:tbl>
      <w:tblPr>
        <w:tblW w:w="8395" w:type="dxa"/>
        <w:jc w:val="left"/>
        <w:tblInd w:w="0" w:type="dxa"/>
        <w:tblLayout w:type="fixed"/>
        <w:tblCellMar>
          <w:top w:w="0" w:type="dxa"/>
          <w:left w:w="0" w:type="dxa"/>
          <w:bottom w:w="0" w:type="dxa"/>
          <w:right w:w="0" w:type="dxa"/>
        </w:tblCellMar>
      </w:tblPr>
      <w:tblGrid>
        <w:gridCol w:w="2075"/>
        <w:gridCol w:w="90"/>
        <w:gridCol w:w="347"/>
        <w:gridCol w:w="1207"/>
        <w:gridCol w:w="184"/>
        <w:gridCol w:w="184"/>
        <w:gridCol w:w="347"/>
        <w:gridCol w:w="838"/>
        <w:gridCol w:w="90"/>
        <w:gridCol w:w="90"/>
        <w:gridCol w:w="281"/>
        <w:gridCol w:w="975"/>
        <w:gridCol w:w="148"/>
        <w:gridCol w:w="148"/>
        <w:gridCol w:w="281"/>
        <w:gridCol w:w="975"/>
        <w:gridCol w:w="135"/>
      </w:tblGrid>
      <w:tr>
        <w:trPr/>
        <w:tc>
          <w:tcPr>
            <w:tcW w:w="207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310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Three Months Ended </w:t>
              <w:br/>
              <w:t>June 30,</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280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Six Months Ended </w:t>
              <w:br/>
              <w:t>June 30,</w:t>
            </w:r>
          </w:p>
        </w:tc>
        <w:tc>
          <w:tcPr>
            <w:tcW w:w="135" w:type="dxa"/>
            <w:tcBorders/>
            <w:vAlign w:val="center"/>
          </w:tcPr>
          <w:p>
            <w:pPr>
              <w:pStyle w:val="TableContents"/>
              <w:bidi w:val="0"/>
              <w:spacing w:before="0" w:after="283"/>
              <w:jc w:val="center"/>
              <w:rPr/>
            </w:pPr>
            <w:r>
              <w:rPr/>
              <w:t> </w:t>
            </w:r>
          </w:p>
        </w:tc>
      </w:tr>
      <w:tr>
        <w:trPr/>
        <w:tc>
          <w:tcPr>
            <w:tcW w:w="20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84"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18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48"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125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35" w:type="dxa"/>
            <w:tcBorders/>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283"/>
              <w:jc w:val="left"/>
              <w:rPr/>
            </w:pPr>
            <w:r>
              <w:rPr/>
              <w:t>Stock options</w:t>
            </w:r>
          </w:p>
        </w:tc>
        <w:tc>
          <w:tcPr>
            <w:tcW w:w="90" w:type="dxa"/>
            <w:tcBorders/>
            <w:shd w:fill="CCEEFF" w:val="clear"/>
            <w:vAlign w:val="center"/>
          </w:tcPr>
          <w:p>
            <w:pPr>
              <w:pStyle w:val="TableContents"/>
              <w:bidi w:val="0"/>
              <w:spacing w:before="0" w:after="283"/>
              <w:jc w:val="left"/>
              <w:rPr/>
            </w:pPr>
            <w:r>
              <w:rPr/>
              <w:t> </w:t>
            </w:r>
          </w:p>
        </w:tc>
        <w:tc>
          <w:tcPr>
            <w:tcW w:w="347" w:type="dxa"/>
            <w:tcBorders/>
            <w:shd w:fill="CCEEFF" w:val="clear"/>
            <w:vAlign w:val="center"/>
          </w:tcPr>
          <w:p>
            <w:pPr>
              <w:pStyle w:val="TableContents"/>
              <w:bidi w:val="0"/>
              <w:spacing w:before="0" w:after="283"/>
              <w:jc w:val="left"/>
              <w:rPr/>
            </w:pPr>
            <w:r>
              <w:rPr/>
              <w:t>$</w:t>
            </w:r>
          </w:p>
        </w:tc>
        <w:tc>
          <w:tcPr>
            <w:tcW w:w="1207" w:type="dxa"/>
            <w:tcBorders/>
            <w:shd w:fill="CCEEFF" w:val="clear"/>
            <w:vAlign w:val="center"/>
          </w:tcPr>
          <w:p>
            <w:pPr>
              <w:pStyle w:val="TableContents"/>
              <w:bidi w:val="0"/>
              <w:spacing w:before="0" w:after="283"/>
              <w:jc w:val="right"/>
              <w:rPr/>
            </w:pPr>
            <w:r>
              <w:rPr/>
              <w:t>1,090</w:t>
            </w:r>
          </w:p>
        </w:tc>
        <w:tc>
          <w:tcPr>
            <w:tcW w:w="184"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347" w:type="dxa"/>
            <w:tcBorders/>
            <w:shd w:fill="CCEEFF" w:val="clear"/>
            <w:vAlign w:val="center"/>
          </w:tcPr>
          <w:p>
            <w:pPr>
              <w:pStyle w:val="TableContents"/>
              <w:bidi w:val="0"/>
              <w:spacing w:before="0" w:after="283"/>
              <w:jc w:val="left"/>
              <w:rPr/>
            </w:pPr>
            <w:r>
              <w:rPr/>
              <w:t>$</w:t>
            </w:r>
          </w:p>
        </w:tc>
        <w:tc>
          <w:tcPr>
            <w:tcW w:w="838" w:type="dxa"/>
            <w:tcBorders/>
            <w:shd w:fill="CCEEFF" w:val="clear"/>
            <w:vAlign w:val="center"/>
          </w:tcPr>
          <w:p>
            <w:pPr>
              <w:pStyle w:val="TableContents"/>
              <w:bidi w:val="0"/>
              <w:spacing w:before="0" w:after="283"/>
              <w:jc w:val="right"/>
              <w:rPr/>
            </w:pPr>
            <w:r>
              <w:rPr/>
              <w:t>736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w:t>
            </w:r>
          </w:p>
        </w:tc>
        <w:tc>
          <w:tcPr>
            <w:tcW w:w="975" w:type="dxa"/>
            <w:tcBorders/>
            <w:shd w:fill="CCEEFF" w:val="clear"/>
            <w:vAlign w:val="center"/>
          </w:tcPr>
          <w:p>
            <w:pPr>
              <w:pStyle w:val="TableContents"/>
              <w:bidi w:val="0"/>
              <w:spacing w:before="0" w:after="283"/>
              <w:jc w:val="right"/>
              <w:rPr/>
            </w:pPr>
            <w:r>
              <w:rPr/>
              <w:t>2,135</w:t>
            </w:r>
          </w:p>
        </w:tc>
        <w:tc>
          <w:tcPr>
            <w:tcW w:w="148"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w:t>
            </w:r>
          </w:p>
        </w:tc>
        <w:tc>
          <w:tcPr>
            <w:tcW w:w="975" w:type="dxa"/>
            <w:tcBorders/>
            <w:shd w:fill="CCEEFF" w:val="clear"/>
            <w:vAlign w:val="center"/>
          </w:tcPr>
          <w:p>
            <w:pPr>
              <w:pStyle w:val="TableContents"/>
              <w:bidi w:val="0"/>
              <w:spacing w:before="0" w:after="283"/>
              <w:jc w:val="right"/>
              <w:rPr/>
            </w:pPr>
            <w:r>
              <w:rPr/>
              <w:t>1,448</w:t>
            </w:r>
          </w:p>
        </w:tc>
        <w:tc>
          <w:tcPr>
            <w:tcW w:w="135" w:type="dxa"/>
            <w:tcBorders/>
            <w:shd w:fill="CCEEFF" w:val="clear"/>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pPr>
            <w:r>
              <w:rPr/>
              <w:t>Restricted stock units</w:t>
            </w:r>
          </w:p>
        </w:tc>
        <w:tc>
          <w:tcPr>
            <w:tcW w:w="90" w:type="dxa"/>
            <w:tcBorders/>
            <w:vAlign w:val="center"/>
          </w:tcPr>
          <w:p>
            <w:pPr>
              <w:pStyle w:val="TableContents"/>
              <w:bidi w:val="0"/>
              <w:spacing w:before="0" w:after="283"/>
              <w:jc w:val="left"/>
              <w:rPr/>
            </w:pPr>
            <w:r>
              <w:rPr/>
              <w:t> </w:t>
            </w:r>
          </w:p>
        </w:tc>
        <w:tc>
          <w:tcPr>
            <w:tcW w:w="347"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7" w:type="dxa"/>
            <w:tcBorders>
              <w:bottom w:val="single" w:sz="12" w:space="0" w:color="000000"/>
            </w:tcBorders>
            <w:tcMar>
              <w:bottom w:w="28" w:type="dxa"/>
            </w:tcMar>
            <w:vAlign w:val="center"/>
          </w:tcPr>
          <w:p>
            <w:pPr>
              <w:pStyle w:val="TableContents"/>
              <w:bidi w:val="0"/>
              <w:spacing w:before="0" w:after="283"/>
              <w:jc w:val="right"/>
              <w:rPr/>
            </w:pPr>
            <w:r>
              <w:rPr/>
              <w:t>294</w:t>
            </w:r>
          </w:p>
        </w:tc>
        <w:tc>
          <w:tcPr>
            <w:tcW w:w="184"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347" w:type="dxa"/>
            <w:tcBorders>
              <w:bottom w:val="single" w:sz="12" w:space="0" w:color="000000"/>
            </w:tcBorders>
            <w:tcMar>
              <w:bottom w:w="28" w:type="dxa"/>
            </w:tcMar>
            <w:vAlign w:val="center"/>
          </w:tcPr>
          <w:p>
            <w:pPr>
              <w:pStyle w:val="TableContents"/>
              <w:bidi w:val="0"/>
              <w:spacing w:before="0" w:after="283"/>
              <w:jc w:val="left"/>
              <w:rPr/>
            </w:pPr>
            <w:r>
              <w:rPr/>
              <w:t> </w:t>
            </w:r>
          </w:p>
        </w:tc>
        <w:tc>
          <w:tcPr>
            <w:tcW w:w="838" w:type="dxa"/>
            <w:tcBorders>
              <w:bottom w:val="single" w:sz="12" w:space="0" w:color="000000"/>
            </w:tcBorders>
            <w:tcMar>
              <w:bottom w:w="28" w:type="dxa"/>
            </w:tcMar>
            <w:vAlign w:val="center"/>
          </w:tcPr>
          <w:p>
            <w:pPr>
              <w:pStyle w:val="TableContents"/>
              <w:bidi w:val="0"/>
              <w:spacing w:before="0" w:after="283"/>
              <w:jc w:val="right"/>
              <w:rPr/>
            </w:pPr>
            <w:r>
              <w:rPr/>
              <w:t>167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1" w:type="dxa"/>
            <w:tcBorders>
              <w:bottom w:val="single" w:sz="12" w:space="0" w:color="000000"/>
            </w:tcBorders>
            <w:tcMar>
              <w:bottom w:w="28" w:type="dxa"/>
            </w:tcMar>
            <w:vAlign w:val="center"/>
          </w:tcPr>
          <w:p>
            <w:pPr>
              <w:pStyle w:val="TableContents"/>
              <w:bidi w:val="0"/>
              <w:spacing w:before="0" w:after="283"/>
              <w:jc w:val="left"/>
              <w:rPr/>
            </w:pPr>
            <w:r>
              <w:rPr/>
              <w:t> </w:t>
            </w:r>
          </w:p>
        </w:tc>
        <w:tc>
          <w:tcPr>
            <w:tcW w:w="975" w:type="dxa"/>
            <w:tcBorders>
              <w:bottom w:val="single" w:sz="12" w:space="0" w:color="000000"/>
            </w:tcBorders>
            <w:tcMar>
              <w:bottom w:w="28" w:type="dxa"/>
            </w:tcMar>
            <w:vAlign w:val="center"/>
          </w:tcPr>
          <w:p>
            <w:pPr>
              <w:pStyle w:val="TableContents"/>
              <w:bidi w:val="0"/>
              <w:spacing w:before="0" w:after="283"/>
              <w:jc w:val="right"/>
              <w:rPr/>
            </w:pPr>
            <w:r>
              <w:rPr/>
              <w:t>611</w:t>
            </w:r>
          </w:p>
        </w:tc>
        <w:tc>
          <w:tcPr>
            <w:tcW w:w="148"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281" w:type="dxa"/>
            <w:tcBorders>
              <w:bottom w:val="single" w:sz="12" w:space="0" w:color="000000"/>
            </w:tcBorders>
            <w:tcMar>
              <w:bottom w:w="28" w:type="dxa"/>
            </w:tcMar>
            <w:vAlign w:val="center"/>
          </w:tcPr>
          <w:p>
            <w:pPr>
              <w:pStyle w:val="TableContents"/>
              <w:bidi w:val="0"/>
              <w:spacing w:before="0" w:after="283"/>
              <w:jc w:val="left"/>
              <w:rPr/>
            </w:pPr>
            <w:r>
              <w:rPr/>
              <w:t> </w:t>
            </w:r>
          </w:p>
        </w:tc>
        <w:tc>
          <w:tcPr>
            <w:tcW w:w="975" w:type="dxa"/>
            <w:tcBorders>
              <w:bottom w:val="single" w:sz="12" w:space="0" w:color="000000"/>
            </w:tcBorders>
            <w:tcMar>
              <w:bottom w:w="28" w:type="dxa"/>
            </w:tcMar>
            <w:vAlign w:val="center"/>
          </w:tcPr>
          <w:p>
            <w:pPr>
              <w:pStyle w:val="TableContents"/>
              <w:bidi w:val="0"/>
              <w:spacing w:before="0" w:after="283"/>
              <w:jc w:val="right"/>
              <w:rPr/>
            </w:pPr>
            <w:r>
              <w:rPr/>
              <w:t>288</w:t>
            </w:r>
          </w:p>
        </w:tc>
        <w:tc>
          <w:tcPr>
            <w:tcW w:w="135" w:type="dxa"/>
            <w:tcBorders/>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283"/>
              <w:jc w:val="left"/>
              <w:rPr/>
            </w:pPr>
            <w:r>
              <w:rPr/>
              <w:t>Total</w:t>
            </w:r>
          </w:p>
        </w:tc>
        <w:tc>
          <w:tcPr>
            <w:tcW w:w="90" w:type="dxa"/>
            <w:tcBorders/>
            <w:shd w:fill="CCEEFF" w:val="clear"/>
            <w:vAlign w:val="center"/>
          </w:tcPr>
          <w:p>
            <w:pPr>
              <w:pStyle w:val="TableContents"/>
              <w:bidi w:val="0"/>
              <w:spacing w:before="0" w:after="283"/>
              <w:jc w:val="left"/>
              <w:rPr/>
            </w:pPr>
            <w:r>
              <w:rPr/>
              <w:t> </w:t>
            </w:r>
          </w:p>
        </w:tc>
        <w:tc>
          <w:tcPr>
            <w:tcW w:w="34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07" w:type="dxa"/>
            <w:tcBorders>
              <w:bottom w:val="double" w:sz="10" w:space="0" w:color="000000"/>
            </w:tcBorders>
            <w:shd w:fill="CCEEFF" w:val="clear"/>
            <w:tcMar>
              <w:bottom w:w="28" w:type="dxa"/>
            </w:tcMar>
            <w:vAlign w:val="center"/>
          </w:tcPr>
          <w:p>
            <w:pPr>
              <w:pStyle w:val="TableContents"/>
              <w:bidi w:val="0"/>
              <w:spacing w:before="0" w:after="283"/>
              <w:jc w:val="right"/>
              <w:rPr/>
            </w:pPr>
            <w:r>
              <w:rPr/>
              <w:t>1,384</w:t>
            </w:r>
          </w:p>
        </w:tc>
        <w:tc>
          <w:tcPr>
            <w:tcW w:w="184"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34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38" w:type="dxa"/>
            <w:tcBorders>
              <w:bottom w:val="double" w:sz="10" w:space="0" w:color="000000"/>
            </w:tcBorders>
            <w:shd w:fill="CCEEFF" w:val="clear"/>
            <w:tcMar>
              <w:bottom w:w="28" w:type="dxa"/>
            </w:tcMar>
            <w:vAlign w:val="center"/>
          </w:tcPr>
          <w:p>
            <w:pPr>
              <w:pStyle w:val="TableContents"/>
              <w:bidi w:val="0"/>
              <w:spacing w:before="0" w:after="283"/>
              <w:jc w:val="right"/>
              <w:rPr/>
            </w:pPr>
            <w:r>
              <w:rPr/>
              <w:t>903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75" w:type="dxa"/>
            <w:tcBorders>
              <w:bottom w:val="double" w:sz="10" w:space="0" w:color="000000"/>
            </w:tcBorders>
            <w:shd w:fill="CCEEFF" w:val="clear"/>
            <w:tcMar>
              <w:bottom w:w="28" w:type="dxa"/>
            </w:tcMar>
            <w:vAlign w:val="center"/>
          </w:tcPr>
          <w:p>
            <w:pPr>
              <w:pStyle w:val="TableContents"/>
              <w:bidi w:val="0"/>
              <w:spacing w:before="0" w:after="283"/>
              <w:jc w:val="right"/>
              <w:rPr/>
            </w:pPr>
            <w:r>
              <w:rPr/>
              <w:t>2,746</w:t>
            </w:r>
          </w:p>
        </w:tc>
        <w:tc>
          <w:tcPr>
            <w:tcW w:w="148"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28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75" w:type="dxa"/>
            <w:tcBorders>
              <w:bottom w:val="double" w:sz="10" w:space="0" w:color="000000"/>
            </w:tcBorders>
            <w:shd w:fill="CCEEFF" w:val="clear"/>
            <w:tcMar>
              <w:bottom w:w="28" w:type="dxa"/>
            </w:tcMar>
            <w:vAlign w:val="center"/>
          </w:tcPr>
          <w:p>
            <w:pPr>
              <w:pStyle w:val="TableContents"/>
              <w:bidi w:val="0"/>
              <w:spacing w:before="0" w:after="283"/>
              <w:jc w:val="right"/>
              <w:rPr/>
            </w:pPr>
            <w:r>
              <w:rPr/>
              <w:t>1,736</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 expense was reflected within the condensed consolidated statements of operations and comprehensive loss as:</w:t>
      </w:r>
    </w:p>
    <w:p>
      <w:pPr>
        <w:pStyle w:val="TextBody"/>
        <w:bidi w:val="0"/>
        <w:spacing w:before="0" w:after="0"/>
        <w:ind w:left="0" w:right="0" w:hanging="0"/>
        <w:jc w:val="left"/>
        <w:rPr>
          <w:caps w:val="false"/>
          <w:smallCaps w:val="false"/>
        </w:rPr>
      </w:pPr>
      <w:r>
        <w:rPr>
          <w:caps w:val="false"/>
          <w:smallCaps w:val="false"/>
        </w:rPr>
        <w:t> </w:t>
      </w:r>
    </w:p>
    <w:tbl>
      <w:tblPr>
        <w:tblW w:w="8935" w:type="dxa"/>
        <w:jc w:val="left"/>
        <w:tblInd w:w="0" w:type="dxa"/>
        <w:tblLayout w:type="fixed"/>
        <w:tblCellMar>
          <w:top w:w="0" w:type="dxa"/>
          <w:left w:w="0" w:type="dxa"/>
          <w:bottom w:w="0" w:type="dxa"/>
          <w:right w:w="0" w:type="dxa"/>
        </w:tblCellMar>
      </w:tblPr>
      <w:tblGrid>
        <w:gridCol w:w="2615"/>
        <w:gridCol w:w="90"/>
        <w:gridCol w:w="347"/>
        <w:gridCol w:w="1207"/>
        <w:gridCol w:w="184"/>
        <w:gridCol w:w="184"/>
        <w:gridCol w:w="347"/>
        <w:gridCol w:w="838"/>
        <w:gridCol w:w="90"/>
        <w:gridCol w:w="90"/>
        <w:gridCol w:w="281"/>
        <w:gridCol w:w="975"/>
        <w:gridCol w:w="148"/>
        <w:gridCol w:w="148"/>
        <w:gridCol w:w="281"/>
        <w:gridCol w:w="975"/>
        <w:gridCol w:w="135"/>
      </w:tblGrid>
      <w:tr>
        <w:trPr/>
        <w:tc>
          <w:tcPr>
            <w:tcW w:w="261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310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Three Months Ended </w:t>
              <w:br/>
              <w:t>June 30,</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280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Six Months Ended </w:t>
              <w:br/>
              <w:t>June 30,</w:t>
            </w:r>
          </w:p>
        </w:tc>
        <w:tc>
          <w:tcPr>
            <w:tcW w:w="135" w:type="dxa"/>
            <w:tcBorders/>
            <w:vAlign w:val="center"/>
          </w:tcPr>
          <w:p>
            <w:pPr>
              <w:pStyle w:val="TableContents"/>
              <w:bidi w:val="0"/>
              <w:spacing w:before="0" w:after="283"/>
              <w:jc w:val="center"/>
              <w:rPr/>
            </w:pPr>
            <w:r>
              <w:rPr/>
              <w:t> </w:t>
            </w:r>
          </w:p>
        </w:tc>
      </w:tr>
      <w:tr>
        <w:trPr/>
        <w:tc>
          <w:tcPr>
            <w:tcW w:w="26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84"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18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48"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125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35" w:type="dxa"/>
            <w:tcBorders/>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283"/>
              <w:jc w:val="left"/>
              <w:rPr/>
            </w:pPr>
            <w:r>
              <w:rPr/>
              <w:t>General and administrative</w:t>
            </w:r>
          </w:p>
        </w:tc>
        <w:tc>
          <w:tcPr>
            <w:tcW w:w="90" w:type="dxa"/>
            <w:tcBorders/>
            <w:shd w:fill="CCEEFF" w:val="clear"/>
            <w:vAlign w:val="center"/>
          </w:tcPr>
          <w:p>
            <w:pPr>
              <w:pStyle w:val="TableContents"/>
              <w:bidi w:val="0"/>
              <w:spacing w:before="0" w:after="283"/>
              <w:jc w:val="left"/>
              <w:rPr/>
            </w:pPr>
            <w:r>
              <w:rPr/>
              <w:t> </w:t>
            </w:r>
          </w:p>
        </w:tc>
        <w:tc>
          <w:tcPr>
            <w:tcW w:w="347" w:type="dxa"/>
            <w:tcBorders/>
            <w:shd w:fill="CCEEFF" w:val="clear"/>
            <w:vAlign w:val="center"/>
          </w:tcPr>
          <w:p>
            <w:pPr>
              <w:pStyle w:val="TableContents"/>
              <w:bidi w:val="0"/>
              <w:spacing w:before="0" w:after="283"/>
              <w:jc w:val="left"/>
              <w:rPr/>
            </w:pPr>
            <w:r>
              <w:rPr/>
              <w:t>$</w:t>
            </w:r>
          </w:p>
        </w:tc>
        <w:tc>
          <w:tcPr>
            <w:tcW w:w="1207" w:type="dxa"/>
            <w:tcBorders/>
            <w:shd w:fill="CCEEFF" w:val="clear"/>
            <w:vAlign w:val="center"/>
          </w:tcPr>
          <w:p>
            <w:pPr>
              <w:pStyle w:val="TableContents"/>
              <w:bidi w:val="0"/>
              <w:spacing w:before="0" w:after="283"/>
              <w:jc w:val="right"/>
              <w:rPr/>
            </w:pPr>
            <w:r>
              <w:rPr/>
              <w:t>1,020</w:t>
            </w:r>
          </w:p>
        </w:tc>
        <w:tc>
          <w:tcPr>
            <w:tcW w:w="184"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347" w:type="dxa"/>
            <w:tcBorders/>
            <w:shd w:fill="CCEEFF" w:val="clear"/>
            <w:vAlign w:val="center"/>
          </w:tcPr>
          <w:p>
            <w:pPr>
              <w:pStyle w:val="TableContents"/>
              <w:bidi w:val="0"/>
              <w:spacing w:before="0" w:after="283"/>
              <w:jc w:val="left"/>
              <w:rPr/>
            </w:pPr>
            <w:r>
              <w:rPr/>
              <w:t>$</w:t>
            </w:r>
          </w:p>
        </w:tc>
        <w:tc>
          <w:tcPr>
            <w:tcW w:w="838" w:type="dxa"/>
            <w:tcBorders/>
            <w:shd w:fill="CCEEFF" w:val="clear"/>
            <w:vAlign w:val="center"/>
          </w:tcPr>
          <w:p>
            <w:pPr>
              <w:pStyle w:val="TableContents"/>
              <w:bidi w:val="0"/>
              <w:spacing w:before="0" w:after="283"/>
              <w:jc w:val="right"/>
              <w:rPr/>
            </w:pPr>
            <w:r>
              <w:rPr/>
              <w:t>677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w:t>
            </w:r>
          </w:p>
        </w:tc>
        <w:tc>
          <w:tcPr>
            <w:tcW w:w="975" w:type="dxa"/>
            <w:tcBorders/>
            <w:shd w:fill="CCEEFF" w:val="clear"/>
            <w:vAlign w:val="center"/>
          </w:tcPr>
          <w:p>
            <w:pPr>
              <w:pStyle w:val="TableContents"/>
              <w:bidi w:val="0"/>
              <w:spacing w:before="0" w:after="283"/>
              <w:jc w:val="right"/>
              <w:rPr/>
            </w:pPr>
            <w:r>
              <w:rPr/>
              <w:t>1,970</w:t>
            </w:r>
          </w:p>
        </w:tc>
        <w:tc>
          <w:tcPr>
            <w:tcW w:w="148"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w:t>
            </w:r>
          </w:p>
        </w:tc>
        <w:tc>
          <w:tcPr>
            <w:tcW w:w="975" w:type="dxa"/>
            <w:tcBorders/>
            <w:shd w:fill="CCEEFF" w:val="clear"/>
            <w:vAlign w:val="center"/>
          </w:tcPr>
          <w:p>
            <w:pPr>
              <w:pStyle w:val="TableContents"/>
              <w:bidi w:val="0"/>
              <w:spacing w:before="0" w:after="283"/>
              <w:jc w:val="right"/>
              <w:rPr/>
            </w:pPr>
            <w:r>
              <w:rPr/>
              <w:t>1,318</w:t>
            </w:r>
          </w:p>
        </w:tc>
        <w:tc>
          <w:tcPr>
            <w:tcW w:w="135" w:type="dxa"/>
            <w:tcBorders/>
            <w:shd w:fill="CCEEFF" w:val="clear"/>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283"/>
              <w:jc w:val="left"/>
              <w:rPr/>
            </w:pPr>
            <w:r>
              <w:rPr/>
              <w:t>Research and development</w:t>
            </w:r>
          </w:p>
        </w:tc>
        <w:tc>
          <w:tcPr>
            <w:tcW w:w="90" w:type="dxa"/>
            <w:tcBorders/>
            <w:vAlign w:val="center"/>
          </w:tcPr>
          <w:p>
            <w:pPr>
              <w:pStyle w:val="TableContents"/>
              <w:bidi w:val="0"/>
              <w:spacing w:before="0" w:after="283"/>
              <w:jc w:val="left"/>
              <w:rPr/>
            </w:pPr>
            <w:r>
              <w:rPr/>
              <w:t> </w:t>
            </w:r>
          </w:p>
        </w:tc>
        <w:tc>
          <w:tcPr>
            <w:tcW w:w="347"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7" w:type="dxa"/>
            <w:tcBorders>
              <w:bottom w:val="single" w:sz="12" w:space="0" w:color="000000"/>
            </w:tcBorders>
            <w:tcMar>
              <w:bottom w:w="28" w:type="dxa"/>
            </w:tcMar>
            <w:vAlign w:val="center"/>
          </w:tcPr>
          <w:p>
            <w:pPr>
              <w:pStyle w:val="TableContents"/>
              <w:bidi w:val="0"/>
              <w:spacing w:before="0" w:after="283"/>
              <w:jc w:val="right"/>
              <w:rPr/>
            </w:pPr>
            <w:r>
              <w:rPr/>
              <w:t>364</w:t>
            </w:r>
          </w:p>
        </w:tc>
        <w:tc>
          <w:tcPr>
            <w:tcW w:w="184"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347" w:type="dxa"/>
            <w:tcBorders>
              <w:bottom w:val="single" w:sz="12" w:space="0" w:color="000000"/>
            </w:tcBorders>
            <w:tcMar>
              <w:bottom w:w="28" w:type="dxa"/>
            </w:tcMar>
            <w:vAlign w:val="center"/>
          </w:tcPr>
          <w:p>
            <w:pPr>
              <w:pStyle w:val="TableContents"/>
              <w:bidi w:val="0"/>
              <w:spacing w:before="0" w:after="283"/>
              <w:jc w:val="left"/>
              <w:rPr/>
            </w:pPr>
            <w:r>
              <w:rPr/>
              <w:t> </w:t>
            </w:r>
          </w:p>
        </w:tc>
        <w:tc>
          <w:tcPr>
            <w:tcW w:w="838" w:type="dxa"/>
            <w:tcBorders>
              <w:bottom w:val="single" w:sz="12" w:space="0" w:color="000000"/>
            </w:tcBorders>
            <w:tcMar>
              <w:bottom w:w="28" w:type="dxa"/>
            </w:tcMar>
            <w:vAlign w:val="center"/>
          </w:tcPr>
          <w:p>
            <w:pPr>
              <w:pStyle w:val="TableContents"/>
              <w:bidi w:val="0"/>
              <w:spacing w:before="0" w:after="283"/>
              <w:jc w:val="right"/>
              <w:rPr/>
            </w:pPr>
            <w:r>
              <w:rPr/>
              <w:t>226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1" w:type="dxa"/>
            <w:tcBorders>
              <w:bottom w:val="single" w:sz="12" w:space="0" w:color="000000"/>
            </w:tcBorders>
            <w:tcMar>
              <w:bottom w:w="28" w:type="dxa"/>
            </w:tcMar>
            <w:vAlign w:val="center"/>
          </w:tcPr>
          <w:p>
            <w:pPr>
              <w:pStyle w:val="TableContents"/>
              <w:bidi w:val="0"/>
              <w:spacing w:before="0" w:after="283"/>
              <w:jc w:val="left"/>
              <w:rPr/>
            </w:pPr>
            <w:r>
              <w:rPr/>
              <w:t> </w:t>
            </w:r>
          </w:p>
        </w:tc>
        <w:tc>
          <w:tcPr>
            <w:tcW w:w="975" w:type="dxa"/>
            <w:tcBorders>
              <w:bottom w:val="single" w:sz="12" w:space="0" w:color="000000"/>
            </w:tcBorders>
            <w:tcMar>
              <w:bottom w:w="28" w:type="dxa"/>
            </w:tcMar>
            <w:vAlign w:val="center"/>
          </w:tcPr>
          <w:p>
            <w:pPr>
              <w:pStyle w:val="TableContents"/>
              <w:bidi w:val="0"/>
              <w:spacing w:before="0" w:after="283"/>
              <w:jc w:val="right"/>
              <w:rPr/>
            </w:pPr>
            <w:r>
              <w:rPr/>
              <w:t>776</w:t>
            </w:r>
          </w:p>
        </w:tc>
        <w:tc>
          <w:tcPr>
            <w:tcW w:w="148"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281" w:type="dxa"/>
            <w:tcBorders>
              <w:bottom w:val="single" w:sz="12" w:space="0" w:color="000000"/>
            </w:tcBorders>
            <w:tcMar>
              <w:bottom w:w="28" w:type="dxa"/>
            </w:tcMar>
            <w:vAlign w:val="center"/>
          </w:tcPr>
          <w:p>
            <w:pPr>
              <w:pStyle w:val="TableContents"/>
              <w:bidi w:val="0"/>
              <w:spacing w:before="0" w:after="283"/>
              <w:jc w:val="left"/>
              <w:rPr/>
            </w:pPr>
            <w:r>
              <w:rPr/>
              <w:t> </w:t>
            </w:r>
          </w:p>
        </w:tc>
        <w:tc>
          <w:tcPr>
            <w:tcW w:w="975" w:type="dxa"/>
            <w:tcBorders>
              <w:bottom w:val="single" w:sz="12" w:space="0" w:color="000000"/>
            </w:tcBorders>
            <w:tcMar>
              <w:bottom w:w="28" w:type="dxa"/>
            </w:tcMar>
            <w:vAlign w:val="center"/>
          </w:tcPr>
          <w:p>
            <w:pPr>
              <w:pStyle w:val="TableContents"/>
              <w:bidi w:val="0"/>
              <w:spacing w:before="0" w:after="283"/>
              <w:jc w:val="right"/>
              <w:rPr/>
            </w:pPr>
            <w:r>
              <w:rPr/>
              <w:t>418</w:t>
            </w:r>
          </w:p>
        </w:tc>
        <w:tc>
          <w:tcPr>
            <w:tcW w:w="135" w:type="dxa"/>
            <w:tcBorders/>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283"/>
              <w:jc w:val="left"/>
              <w:rPr/>
            </w:pPr>
            <w:r>
              <w:rPr/>
              <w:t>Total</w:t>
            </w:r>
          </w:p>
        </w:tc>
        <w:tc>
          <w:tcPr>
            <w:tcW w:w="90" w:type="dxa"/>
            <w:tcBorders/>
            <w:shd w:fill="CCEEFF" w:val="clear"/>
            <w:vAlign w:val="center"/>
          </w:tcPr>
          <w:p>
            <w:pPr>
              <w:pStyle w:val="TableContents"/>
              <w:bidi w:val="0"/>
              <w:spacing w:before="0" w:after="283"/>
              <w:jc w:val="left"/>
              <w:rPr/>
            </w:pPr>
            <w:r>
              <w:rPr/>
              <w:t> </w:t>
            </w:r>
          </w:p>
        </w:tc>
        <w:tc>
          <w:tcPr>
            <w:tcW w:w="34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07" w:type="dxa"/>
            <w:tcBorders>
              <w:bottom w:val="double" w:sz="10" w:space="0" w:color="000000"/>
            </w:tcBorders>
            <w:shd w:fill="CCEEFF" w:val="clear"/>
            <w:tcMar>
              <w:bottom w:w="28" w:type="dxa"/>
            </w:tcMar>
            <w:vAlign w:val="center"/>
          </w:tcPr>
          <w:p>
            <w:pPr>
              <w:pStyle w:val="TableContents"/>
              <w:bidi w:val="0"/>
              <w:spacing w:before="0" w:after="283"/>
              <w:jc w:val="right"/>
              <w:rPr/>
            </w:pPr>
            <w:r>
              <w:rPr/>
              <w:t>1,384</w:t>
            </w:r>
          </w:p>
        </w:tc>
        <w:tc>
          <w:tcPr>
            <w:tcW w:w="184"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34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38" w:type="dxa"/>
            <w:tcBorders>
              <w:bottom w:val="double" w:sz="10" w:space="0" w:color="000000"/>
            </w:tcBorders>
            <w:shd w:fill="CCEEFF" w:val="clear"/>
            <w:tcMar>
              <w:bottom w:w="28" w:type="dxa"/>
            </w:tcMar>
            <w:vAlign w:val="center"/>
          </w:tcPr>
          <w:p>
            <w:pPr>
              <w:pStyle w:val="TableContents"/>
              <w:bidi w:val="0"/>
              <w:spacing w:before="0" w:after="283"/>
              <w:jc w:val="right"/>
              <w:rPr/>
            </w:pPr>
            <w:r>
              <w:rPr/>
              <w:t>903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75" w:type="dxa"/>
            <w:tcBorders>
              <w:bottom w:val="double" w:sz="10" w:space="0" w:color="000000"/>
            </w:tcBorders>
            <w:shd w:fill="CCEEFF" w:val="clear"/>
            <w:tcMar>
              <w:bottom w:w="28" w:type="dxa"/>
            </w:tcMar>
            <w:vAlign w:val="center"/>
          </w:tcPr>
          <w:p>
            <w:pPr>
              <w:pStyle w:val="TableContents"/>
              <w:bidi w:val="0"/>
              <w:spacing w:before="0" w:after="283"/>
              <w:jc w:val="right"/>
              <w:rPr/>
            </w:pPr>
            <w:r>
              <w:rPr/>
              <w:t>2,746</w:t>
            </w:r>
          </w:p>
        </w:tc>
        <w:tc>
          <w:tcPr>
            <w:tcW w:w="148"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28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75" w:type="dxa"/>
            <w:tcBorders>
              <w:bottom w:val="double" w:sz="10" w:space="0" w:color="000000"/>
            </w:tcBorders>
            <w:shd w:fill="CCEEFF" w:val="clear"/>
            <w:tcMar>
              <w:bottom w:w="28" w:type="dxa"/>
            </w:tcMar>
            <w:vAlign w:val="center"/>
          </w:tcPr>
          <w:p>
            <w:pPr>
              <w:pStyle w:val="TableContents"/>
              <w:bidi w:val="0"/>
              <w:spacing w:before="0" w:after="283"/>
              <w:jc w:val="right"/>
              <w:rPr/>
            </w:pPr>
            <w:r>
              <w:rPr/>
              <w:t>1,736</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 Net Income (Loss) per Common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computation of the net income (loss) per share attributable to common stockholders, basic and diluted:</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45"/>
        <w:gridCol w:w="90"/>
        <w:gridCol w:w="185"/>
        <w:gridCol w:w="1232"/>
        <w:gridCol w:w="135"/>
        <w:gridCol w:w="97"/>
        <w:gridCol w:w="185"/>
        <w:gridCol w:w="1234"/>
        <w:gridCol w:w="125"/>
        <w:gridCol w:w="90"/>
        <w:gridCol w:w="170"/>
        <w:gridCol w:w="1130"/>
        <w:gridCol w:w="125"/>
        <w:gridCol w:w="90"/>
        <w:gridCol w:w="170"/>
        <w:gridCol w:w="1130"/>
        <w:gridCol w:w="172"/>
      </w:tblGrid>
      <w:tr>
        <w:trPr/>
        <w:tc>
          <w:tcPr>
            <w:tcW w:w="3845" w:type="dxa"/>
            <w:tcBorders/>
            <w:vAlign w:val="center"/>
          </w:tcPr>
          <w:p>
            <w:pPr>
              <w:pStyle w:val="TableContents"/>
              <w:bidi w:val="0"/>
              <w:spacing w:before="0" w:after="283"/>
              <w:ind w:left="0" w:right="0" w:hanging="180"/>
              <w:jc w:val="center"/>
              <w:rPr/>
            </w:pPr>
            <w:r>
              <w:rPr/>
              <w:t> </w:t>
            </w:r>
          </w:p>
        </w:tc>
        <w:tc>
          <w:tcPr>
            <w:tcW w:w="90" w:type="dxa"/>
            <w:tcBorders/>
            <w:vAlign w:val="center"/>
          </w:tcPr>
          <w:p>
            <w:pPr>
              <w:pStyle w:val="TableContents"/>
              <w:bidi w:val="0"/>
              <w:spacing w:before="0" w:after="283"/>
              <w:jc w:val="left"/>
              <w:rPr/>
            </w:pPr>
            <w:r>
              <w:rPr/>
              <w:t> </w:t>
            </w:r>
          </w:p>
        </w:tc>
        <w:tc>
          <w:tcPr>
            <w:tcW w:w="306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Three Months Ended </w:t>
              <w:br/>
              <w:t>June 30,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1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Six Months Ended </w:t>
              <w:br/>
              <w:t>June 30,</w:t>
            </w:r>
          </w:p>
        </w:tc>
        <w:tc>
          <w:tcPr>
            <w:tcW w:w="172" w:type="dxa"/>
            <w:tcBorders/>
            <w:vAlign w:val="center"/>
          </w:tcPr>
          <w:p>
            <w:pPr>
              <w:pStyle w:val="TableContents"/>
              <w:bidi w:val="0"/>
              <w:spacing w:before="0" w:after="283"/>
              <w:ind w:left="0" w:right="0" w:hanging="180"/>
              <w:jc w:val="left"/>
              <w:rPr/>
            </w:pPr>
            <w:r>
              <w:rPr/>
              <w:t> </w:t>
            </w:r>
          </w:p>
        </w:tc>
      </w:tr>
      <w:tr>
        <w:trPr/>
        <w:tc>
          <w:tcPr>
            <w:tcW w:w="38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1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35"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41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72" w:type="dxa"/>
            <w:tcBorders/>
            <w:vAlign w:val="center"/>
          </w:tcPr>
          <w:p>
            <w:pPr>
              <w:pStyle w:val="TableContents"/>
              <w:bidi w:val="0"/>
              <w:spacing w:before="0" w:after="283"/>
              <w:ind w:left="0" w:right="0" w:hanging="180"/>
              <w:jc w:val="left"/>
              <w:rPr/>
            </w:pPr>
            <w:r>
              <w:rPr/>
              <w:t> </w:t>
            </w:r>
          </w:p>
        </w:tc>
      </w:tr>
      <w:tr>
        <w:trPr/>
        <w:tc>
          <w:tcPr>
            <w:tcW w:w="3845" w:type="dxa"/>
            <w:tcBorders/>
            <w:vAlign w:val="center"/>
          </w:tcPr>
          <w:p>
            <w:pPr>
              <w:pStyle w:val="TableContents"/>
              <w:bidi w:val="0"/>
              <w:spacing w:before="0" w:after="283"/>
              <w:jc w:val="left"/>
              <w:rPr/>
            </w:pPr>
            <w:r>
              <w:rPr/>
              <w:t>Numerator</w:t>
            </w:r>
          </w:p>
        </w:tc>
        <w:tc>
          <w:tcPr>
            <w:tcW w:w="90" w:type="dxa"/>
            <w:tcBorders/>
            <w:vAlign w:val="center"/>
          </w:tcPr>
          <w:p>
            <w:pPr>
              <w:pStyle w:val="TableContents"/>
              <w:bidi w:val="0"/>
              <w:spacing w:before="0" w:after="283"/>
              <w:jc w:val="left"/>
              <w:rPr/>
            </w:pPr>
            <w:r>
              <w:rPr/>
              <w:t> </w:t>
            </w:r>
          </w:p>
        </w:tc>
        <w:tc>
          <w:tcPr>
            <w:tcW w:w="1417" w:type="dxa"/>
            <w:gridSpan w:val="2"/>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419"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right"/>
              <w:rPr/>
            </w:pPr>
            <w:r>
              <w:rPr/>
              <w:t> </w:t>
            </w:r>
          </w:p>
        </w:tc>
        <w:tc>
          <w:tcPr>
            <w:tcW w:w="172" w:type="dxa"/>
            <w:tcBorders/>
            <w:vAlign w:val="center"/>
          </w:tcPr>
          <w:p>
            <w:pPr>
              <w:pStyle w:val="TableContents"/>
              <w:bidi w:val="0"/>
              <w:spacing w:before="0" w:after="283"/>
              <w:ind w:left="0" w:right="0" w:hanging="180"/>
              <w:jc w:val="left"/>
              <w:rPr/>
            </w:pPr>
            <w:r>
              <w:rPr/>
              <w:t> </w:t>
            </w:r>
          </w:p>
        </w:tc>
      </w:tr>
      <w:tr>
        <w:trPr/>
        <w:tc>
          <w:tcPr>
            <w:tcW w:w="3845" w:type="dxa"/>
            <w:tcBorders/>
            <w:shd w:fill="CCEEFF" w:val="clear"/>
            <w:vAlign w:val="center"/>
          </w:tcPr>
          <w:p>
            <w:pPr>
              <w:pStyle w:val="TableContents"/>
              <w:bidi w:val="0"/>
              <w:spacing w:before="0" w:after="283"/>
              <w:jc w:val="left"/>
              <w:rPr/>
            </w:pPr>
            <w:r>
              <w:rPr/>
              <w:t>Net income (loss) attributable to common stockholders</w:t>
            </w:r>
          </w:p>
        </w:tc>
        <w:tc>
          <w:tcPr>
            <w:tcW w:w="90" w:type="dxa"/>
            <w:tcBorders/>
            <w:shd w:fill="CCEEFF" w:val="clear"/>
            <w:vAlign w:val="center"/>
          </w:tcPr>
          <w:p>
            <w:pPr>
              <w:pStyle w:val="TableContents"/>
              <w:bidi w:val="0"/>
              <w:spacing w:before="0" w:after="283"/>
              <w:jc w:val="left"/>
              <w:rPr/>
            </w:pPr>
            <w:r>
              <w:rPr/>
              <w:t> </w:t>
            </w:r>
          </w:p>
        </w:tc>
        <w:tc>
          <w:tcPr>
            <w:tcW w:w="18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32" w:type="dxa"/>
            <w:tcBorders>
              <w:bottom w:val="double" w:sz="10" w:space="0" w:color="000000"/>
            </w:tcBorders>
            <w:shd w:fill="CCEEFF" w:val="clear"/>
            <w:tcMar>
              <w:bottom w:w="28" w:type="dxa"/>
            </w:tcMar>
            <w:vAlign w:val="center"/>
          </w:tcPr>
          <w:p>
            <w:pPr>
              <w:pStyle w:val="TableContents"/>
              <w:bidi w:val="0"/>
              <w:spacing w:before="0" w:after="283"/>
              <w:jc w:val="right"/>
              <w:rPr/>
            </w:pPr>
            <w:r>
              <w:rPr/>
              <w:t>(21,668</w:t>
            </w:r>
          </w:p>
        </w:tc>
        <w:tc>
          <w:tcPr>
            <w:tcW w:w="135" w:type="dxa"/>
            <w:tcBorders/>
            <w:shd w:fill="CCEEFF" w:val="clear"/>
            <w:vAlign w:val="center"/>
          </w:tcPr>
          <w:p>
            <w:pPr>
              <w:pStyle w:val="TableContents"/>
              <w:bidi w:val="0"/>
              <w:spacing w:before="0" w:after="283"/>
              <w:jc w:val="left"/>
              <w:rPr/>
            </w:pPr>
            <w:r>
              <w:rPr/>
              <w:t>)</w:t>
            </w:r>
          </w:p>
        </w:tc>
        <w:tc>
          <w:tcPr>
            <w:tcW w:w="97" w:type="dxa"/>
            <w:tcBorders/>
            <w:shd w:fill="CCEEFF" w:val="clear"/>
            <w:vAlign w:val="center"/>
          </w:tcPr>
          <w:p>
            <w:pPr>
              <w:pStyle w:val="TableContents"/>
              <w:bidi w:val="0"/>
              <w:spacing w:before="0" w:after="283"/>
              <w:jc w:val="left"/>
              <w:rPr/>
            </w:pPr>
            <w:r>
              <w:rPr/>
              <w:t> </w:t>
            </w:r>
          </w:p>
        </w:tc>
        <w:tc>
          <w:tcPr>
            <w:tcW w:w="18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34" w:type="dxa"/>
            <w:tcBorders>
              <w:bottom w:val="double" w:sz="10" w:space="0" w:color="000000"/>
            </w:tcBorders>
            <w:shd w:fill="CCEEFF" w:val="clear"/>
            <w:tcMar>
              <w:bottom w:w="28" w:type="dxa"/>
            </w:tcMar>
            <w:vAlign w:val="center"/>
          </w:tcPr>
          <w:p>
            <w:pPr>
              <w:pStyle w:val="TableContents"/>
              <w:bidi w:val="0"/>
              <w:spacing w:before="0" w:after="283"/>
              <w:jc w:val="right"/>
              <w:rPr/>
            </w:pPr>
            <w:r>
              <w:rPr/>
              <w:t>(14,960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pPr>
            <w:r>
              <w:rPr/>
              <w:t>(39,450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pPr>
            <w:r>
              <w:rPr/>
              <w:t>(26,874</w:t>
            </w:r>
          </w:p>
        </w:tc>
        <w:tc>
          <w:tcPr>
            <w:tcW w:w="172" w:type="dxa"/>
            <w:tcBorders/>
            <w:shd w:fill="CCEEFF" w:val="clear"/>
            <w:vAlign w:val="center"/>
          </w:tcPr>
          <w:p>
            <w:pPr>
              <w:pStyle w:val="TableContents"/>
              <w:bidi w:val="0"/>
              <w:spacing w:before="0" w:after="283"/>
              <w:ind w:left="0" w:right="0" w:hanging="180"/>
              <w:jc w:val="left"/>
              <w:rPr/>
            </w:pPr>
            <w:r>
              <w:rPr/>
              <w:t>)</w:t>
            </w:r>
          </w:p>
        </w:tc>
      </w:tr>
      <w:tr>
        <w:trPr/>
        <w:tc>
          <w:tcPr>
            <w:tcW w:w="3845" w:type="dxa"/>
            <w:tcBorders/>
            <w:vAlign w:val="center"/>
          </w:tcPr>
          <w:p>
            <w:pPr>
              <w:pStyle w:val="TableContents"/>
              <w:bidi w:val="0"/>
              <w:spacing w:before="0" w:after="283"/>
              <w:jc w:val="left"/>
              <w:rPr/>
            </w:pPr>
            <w:r>
              <w:rPr/>
              <w:t>Denominator</w:t>
            </w:r>
          </w:p>
        </w:tc>
        <w:tc>
          <w:tcPr>
            <w:tcW w:w="9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234"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72" w:type="dxa"/>
            <w:tcBorders/>
            <w:vAlign w:val="center"/>
          </w:tcPr>
          <w:p>
            <w:pPr>
              <w:pStyle w:val="TableContents"/>
              <w:bidi w:val="0"/>
              <w:spacing w:before="0" w:after="283"/>
              <w:ind w:left="0" w:right="0" w:hanging="180"/>
              <w:jc w:val="left"/>
              <w:rPr/>
            </w:pPr>
            <w:r>
              <w:rPr/>
              <w:t> </w:t>
            </w:r>
          </w:p>
        </w:tc>
      </w:tr>
      <w:tr>
        <w:trPr/>
        <w:tc>
          <w:tcPr>
            <w:tcW w:w="3845" w:type="dxa"/>
            <w:tcBorders/>
            <w:shd w:fill="CCEEFF" w:val="clear"/>
            <w:vAlign w:val="center"/>
          </w:tcPr>
          <w:p>
            <w:pPr>
              <w:pStyle w:val="TableContents"/>
              <w:bidi w:val="0"/>
              <w:spacing w:before="0" w:after="283"/>
              <w:jc w:val="left"/>
              <w:rPr/>
            </w:pPr>
            <w:r>
              <w:rPr/>
              <w:t>Weighted-average shares of common stock outstanding, basic and diluted</w:t>
            </w:r>
          </w:p>
        </w:tc>
        <w:tc>
          <w:tcPr>
            <w:tcW w:w="90" w:type="dxa"/>
            <w:tcBorders/>
            <w:shd w:fill="CCEEFF" w:val="clear"/>
            <w:vAlign w:val="center"/>
          </w:tcPr>
          <w:p>
            <w:pPr>
              <w:pStyle w:val="TableContents"/>
              <w:bidi w:val="0"/>
              <w:spacing w:before="0" w:after="283"/>
              <w:jc w:val="left"/>
              <w:rPr/>
            </w:pPr>
            <w:r>
              <w:rPr/>
              <w:t> </w:t>
            </w:r>
          </w:p>
        </w:tc>
        <w:tc>
          <w:tcPr>
            <w:tcW w:w="18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32" w:type="dxa"/>
            <w:tcBorders>
              <w:bottom w:val="double" w:sz="10" w:space="0" w:color="000000"/>
            </w:tcBorders>
            <w:shd w:fill="CCEEFF" w:val="clear"/>
            <w:tcMar>
              <w:bottom w:w="28" w:type="dxa"/>
            </w:tcMar>
            <w:vAlign w:val="center"/>
          </w:tcPr>
          <w:p>
            <w:pPr>
              <w:pStyle w:val="TableContents"/>
              <w:bidi w:val="0"/>
              <w:spacing w:before="0" w:after="283"/>
              <w:jc w:val="right"/>
              <w:rPr/>
            </w:pPr>
            <w:r>
              <w:rPr/>
              <w:t>61,006,766</w:t>
            </w:r>
          </w:p>
        </w:tc>
        <w:tc>
          <w:tcPr>
            <w:tcW w:w="135"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8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34" w:type="dxa"/>
            <w:tcBorders>
              <w:bottom w:val="double" w:sz="10" w:space="0" w:color="000000"/>
            </w:tcBorders>
            <w:shd w:fill="CCEEFF" w:val="clear"/>
            <w:tcMar>
              <w:bottom w:w="28" w:type="dxa"/>
            </w:tcMar>
            <w:vAlign w:val="center"/>
          </w:tcPr>
          <w:p>
            <w:pPr>
              <w:pStyle w:val="TableContents"/>
              <w:bidi w:val="0"/>
              <w:spacing w:before="0" w:after="283"/>
              <w:jc w:val="right"/>
              <w:rPr/>
            </w:pPr>
            <w:r>
              <w:rPr/>
              <w:t>42,270,855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pPr>
            <w:r>
              <w:rPr/>
              <w:t>59,282,380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pPr>
            <w:r>
              <w:rPr/>
              <w:t>41,493,714</w:t>
            </w:r>
          </w:p>
        </w:tc>
        <w:tc>
          <w:tcPr>
            <w:tcW w:w="172" w:type="dxa"/>
            <w:tcBorders/>
            <w:shd w:fill="CCEEFF" w:val="clear"/>
            <w:vAlign w:val="center"/>
          </w:tcPr>
          <w:p>
            <w:pPr>
              <w:pStyle w:val="TableContents"/>
              <w:bidi w:val="0"/>
              <w:spacing w:before="0" w:after="283"/>
              <w:ind w:left="0" w:right="0" w:hanging="180"/>
              <w:jc w:val="left"/>
              <w:rPr/>
            </w:pPr>
            <w:r>
              <w:rPr/>
              <w:t> </w:t>
            </w:r>
          </w:p>
        </w:tc>
      </w:tr>
      <w:tr>
        <w:trPr/>
        <w:tc>
          <w:tcPr>
            <w:tcW w:w="3845" w:type="dxa"/>
            <w:tcBorders/>
            <w:vAlign w:val="center"/>
          </w:tcPr>
          <w:p>
            <w:pPr>
              <w:pStyle w:val="TableContents"/>
              <w:bidi w:val="0"/>
              <w:spacing w:before="0" w:after="283"/>
              <w:jc w:val="left"/>
              <w:rPr/>
            </w:pPr>
            <w:r>
              <w:rPr/>
              <w:t>Net income (loss) per share attributable to common stockholders, basic and diluted</w:t>
            </w:r>
          </w:p>
        </w:tc>
        <w:tc>
          <w:tcPr>
            <w:tcW w:w="90" w:type="dxa"/>
            <w:tcBorders/>
            <w:vAlign w:val="center"/>
          </w:tcPr>
          <w:p>
            <w:pPr>
              <w:pStyle w:val="TableContents"/>
              <w:bidi w:val="0"/>
              <w:spacing w:before="0" w:after="283"/>
              <w:jc w:val="left"/>
              <w:rPr/>
            </w:pPr>
            <w:r>
              <w:rPr/>
              <w:t> </w:t>
            </w:r>
          </w:p>
        </w:tc>
        <w:tc>
          <w:tcPr>
            <w:tcW w:w="185" w:type="dxa"/>
            <w:tcBorders>
              <w:bottom w:val="double" w:sz="10" w:space="0" w:color="000000"/>
            </w:tcBorders>
            <w:tcMar>
              <w:bottom w:w="28" w:type="dxa"/>
            </w:tcMar>
            <w:vAlign w:val="center"/>
          </w:tcPr>
          <w:p>
            <w:pPr>
              <w:pStyle w:val="TableContents"/>
              <w:bidi w:val="0"/>
              <w:spacing w:before="0" w:after="283"/>
              <w:jc w:val="left"/>
              <w:rPr/>
            </w:pPr>
            <w:r>
              <w:rPr/>
              <w:t>$</w:t>
            </w:r>
          </w:p>
        </w:tc>
        <w:tc>
          <w:tcPr>
            <w:tcW w:w="1232" w:type="dxa"/>
            <w:tcBorders>
              <w:bottom w:val="double" w:sz="10" w:space="0" w:color="000000"/>
            </w:tcBorders>
            <w:tcMar>
              <w:bottom w:w="28" w:type="dxa"/>
            </w:tcMar>
            <w:vAlign w:val="center"/>
          </w:tcPr>
          <w:p>
            <w:pPr>
              <w:pStyle w:val="TableContents"/>
              <w:bidi w:val="0"/>
              <w:spacing w:before="0" w:after="283"/>
              <w:jc w:val="right"/>
              <w:rPr/>
            </w:pPr>
            <w:r>
              <w:rPr/>
              <w:t>(0.36</w:t>
            </w:r>
          </w:p>
        </w:tc>
        <w:tc>
          <w:tcPr>
            <w:tcW w:w="135" w:type="dxa"/>
            <w:tcBorders/>
            <w:vAlign w:val="center"/>
          </w:tcPr>
          <w:p>
            <w:pPr>
              <w:pStyle w:val="TableContents"/>
              <w:bidi w:val="0"/>
              <w:spacing w:before="0" w:after="283"/>
              <w:jc w:val="left"/>
              <w:rPr/>
            </w:pPr>
            <w:r>
              <w:rPr/>
              <w:t>)</w:t>
            </w:r>
          </w:p>
        </w:tc>
        <w:tc>
          <w:tcPr>
            <w:tcW w:w="97" w:type="dxa"/>
            <w:tcBorders/>
            <w:vAlign w:val="center"/>
          </w:tcPr>
          <w:p>
            <w:pPr>
              <w:pStyle w:val="TableContents"/>
              <w:bidi w:val="0"/>
              <w:spacing w:before="0" w:after="283"/>
              <w:jc w:val="left"/>
              <w:rPr/>
            </w:pPr>
            <w:r>
              <w:rPr/>
              <w:t> </w:t>
            </w:r>
          </w:p>
        </w:tc>
        <w:tc>
          <w:tcPr>
            <w:tcW w:w="185" w:type="dxa"/>
            <w:tcBorders>
              <w:bottom w:val="double" w:sz="10" w:space="0" w:color="000000"/>
            </w:tcBorders>
            <w:tcMar>
              <w:bottom w:w="28" w:type="dxa"/>
            </w:tcMar>
            <w:vAlign w:val="center"/>
          </w:tcPr>
          <w:p>
            <w:pPr>
              <w:pStyle w:val="TableContents"/>
              <w:bidi w:val="0"/>
              <w:spacing w:before="0" w:after="283"/>
              <w:jc w:val="left"/>
              <w:rPr/>
            </w:pPr>
            <w:r>
              <w:rPr/>
              <w:t>$</w:t>
            </w:r>
          </w:p>
        </w:tc>
        <w:tc>
          <w:tcPr>
            <w:tcW w:w="1234" w:type="dxa"/>
            <w:tcBorders>
              <w:bottom w:val="double" w:sz="10" w:space="0" w:color="000000"/>
            </w:tcBorders>
            <w:tcMar>
              <w:bottom w:w="28" w:type="dxa"/>
            </w:tcMar>
            <w:vAlign w:val="center"/>
          </w:tcPr>
          <w:p>
            <w:pPr>
              <w:pStyle w:val="TableContents"/>
              <w:bidi w:val="0"/>
              <w:spacing w:before="0" w:after="283"/>
              <w:jc w:val="right"/>
              <w:rPr/>
            </w:pPr>
            <w:r>
              <w:rPr/>
              <w:t>(0.35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1130" w:type="dxa"/>
            <w:tcBorders>
              <w:bottom w:val="double" w:sz="10" w:space="0" w:color="000000"/>
            </w:tcBorders>
            <w:tcMar>
              <w:bottom w:w="28" w:type="dxa"/>
            </w:tcMar>
            <w:vAlign w:val="center"/>
          </w:tcPr>
          <w:p>
            <w:pPr>
              <w:pStyle w:val="TableContents"/>
              <w:bidi w:val="0"/>
              <w:spacing w:before="0" w:after="283"/>
              <w:jc w:val="right"/>
              <w:rPr/>
            </w:pPr>
            <w:r>
              <w:rPr/>
              <w:t>(0.67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1130" w:type="dxa"/>
            <w:tcBorders>
              <w:bottom w:val="double" w:sz="10" w:space="0" w:color="000000"/>
            </w:tcBorders>
            <w:tcMar>
              <w:bottom w:w="28" w:type="dxa"/>
            </w:tcMar>
            <w:vAlign w:val="center"/>
          </w:tcPr>
          <w:p>
            <w:pPr>
              <w:pStyle w:val="TableContents"/>
              <w:bidi w:val="0"/>
              <w:spacing w:before="0" w:after="283"/>
              <w:jc w:val="right"/>
              <w:rPr/>
            </w:pPr>
            <w:r>
              <w:rPr/>
              <w:t>(0.65</w:t>
            </w:r>
          </w:p>
        </w:tc>
        <w:tc>
          <w:tcPr>
            <w:tcW w:w="172" w:type="dxa"/>
            <w:tcBorders/>
            <w:vAlign w:val="center"/>
          </w:tcPr>
          <w:p>
            <w:pPr>
              <w:pStyle w:val="TableContents"/>
              <w:bidi w:val="0"/>
              <w:spacing w:before="0" w:after="283"/>
              <w:jc w:val="left"/>
              <w:rPr/>
            </w:pPr>
            <w:r>
              <w:rPr/>
              <w: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weighted-average number of shares of common stock outstanding during the period includes any contingently issuable shares for which there is no circumstance under which those shares would not be issued and shares issuable upon the exercise of warrants to purchase common stock for no or nominal consideration. This includes 289,500 RSUs that have vested but that have not yet been settled into shares of the Company’s common stock, 1,700,000 April 2024 Pre-Funded Warrants and 1,700,272 December 2024 Pre-Funded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Protara Therapeutics,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(amounts in thousands, except share and per share data)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the Company was in a net loss position for all periods presented, net income (loss) per share attributable to common stockholders was the same, on a basic and diluted basis, as the inclusion of all potential common equivalent shares outstanding would have been anti-dilutive. The Company excluded the following potential shares of common stock, presented based on amounts outstanding at each period end, from the computation of diluted net income (loss) per share attributable to common stockholders for the periods indicated because including them would have had an anti-dilutive effect: </w:t>
      </w:r>
    </w:p>
    <w:p>
      <w:pPr>
        <w:pStyle w:val="TextBody"/>
        <w:bidi w:val="0"/>
        <w:spacing w:before="0" w:after="0"/>
        <w:ind w:left="0" w:right="0" w:firstLine="360"/>
        <w:jc w:val="both"/>
        <w:rPr>
          <w:caps w:val="false"/>
          <w:smallCaps w:val="false"/>
        </w:rPr>
      </w:pPr>
      <w:r>
        <w:rPr>
          <w:caps w:val="false"/>
          <w:smallCaps w:val="false"/>
        </w:rPr>
        <w:t> </w:t>
      </w:r>
    </w:p>
    <w:tbl>
      <w:tblPr>
        <w:tblW w:w="6240" w:type="dxa"/>
        <w:jc w:val="left"/>
        <w:tblInd w:w="0" w:type="dxa"/>
        <w:tblLayout w:type="fixed"/>
        <w:tblCellMar>
          <w:top w:w="0" w:type="dxa"/>
          <w:left w:w="0" w:type="dxa"/>
          <w:bottom w:w="0" w:type="dxa"/>
          <w:right w:w="0" w:type="dxa"/>
        </w:tblCellMar>
      </w:tblPr>
      <w:tblGrid>
        <w:gridCol w:w="3515"/>
        <w:gridCol w:w="90"/>
        <w:gridCol w:w="90"/>
        <w:gridCol w:w="1010"/>
        <w:gridCol w:w="90"/>
        <w:gridCol w:w="90"/>
        <w:gridCol w:w="90"/>
        <w:gridCol w:w="1130"/>
        <w:gridCol w:w="135"/>
      </w:tblGrid>
      <w:tr>
        <w:trPr/>
        <w:tc>
          <w:tcPr>
            <w:tcW w:w="351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50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June 30,</w:t>
            </w:r>
          </w:p>
        </w:tc>
        <w:tc>
          <w:tcPr>
            <w:tcW w:w="135" w:type="dxa"/>
            <w:tcBorders/>
            <w:vAlign w:val="center"/>
          </w:tcPr>
          <w:p>
            <w:pPr>
              <w:pStyle w:val="TableContents"/>
              <w:bidi w:val="0"/>
              <w:spacing w:before="0" w:after="283"/>
              <w:jc w:val="left"/>
              <w:rPr/>
            </w:pPr>
            <w:r>
              <w:rPr/>
              <w:t> </w:t>
            </w:r>
          </w:p>
        </w:tc>
      </w:tr>
      <w:tr>
        <w:trPr/>
        <w:tc>
          <w:tcPr>
            <w:tcW w:w="35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35" w:type="dxa"/>
            <w:tcBorders/>
            <w:vAlign w:val="center"/>
          </w:tcPr>
          <w:p>
            <w:pPr>
              <w:pStyle w:val="TableContents"/>
              <w:bidi w:val="0"/>
              <w:spacing w:before="0" w:after="283"/>
              <w:jc w:val="left"/>
              <w:rPr/>
            </w:pPr>
            <w:r>
              <w:rPr/>
              <w:t> </w:t>
            </w:r>
          </w:p>
        </w:tc>
      </w:tr>
      <w:tr>
        <w:trPr/>
        <w:tc>
          <w:tcPr>
            <w:tcW w:w="3515" w:type="dxa"/>
            <w:tcBorders/>
            <w:vAlign w:val="center"/>
          </w:tcPr>
          <w:p>
            <w:pPr>
              <w:pStyle w:val="TableContents"/>
              <w:bidi w:val="0"/>
              <w:spacing w:before="0" w:after="283"/>
              <w:jc w:val="left"/>
              <w:rPr/>
            </w:pPr>
            <w:r>
              <w:rPr/>
              <w:t>Potentially dilutive shares:</w:t>
            </w:r>
          </w:p>
        </w:tc>
        <w:tc>
          <w:tcPr>
            <w:tcW w:w="9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3515" w:type="dxa"/>
            <w:tcBorders/>
            <w:shd w:fill="CCEEFF" w:val="clear"/>
            <w:vAlign w:val="center"/>
          </w:tcPr>
          <w:p>
            <w:pPr>
              <w:pStyle w:val="TableContents"/>
              <w:bidi w:val="0"/>
              <w:spacing w:before="0" w:after="283"/>
              <w:jc w:val="left"/>
              <w:rPr/>
            </w:pPr>
            <w:r>
              <w:rPr/>
              <w:t>Stock options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7,476,614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5,563,027</w:t>
            </w:r>
          </w:p>
        </w:tc>
        <w:tc>
          <w:tcPr>
            <w:tcW w:w="135" w:type="dxa"/>
            <w:tcBorders/>
            <w:shd w:fill="CCEEFF" w:val="clear"/>
            <w:vAlign w:val="center"/>
          </w:tcPr>
          <w:p>
            <w:pPr>
              <w:pStyle w:val="TableContents"/>
              <w:bidi w:val="0"/>
              <w:spacing w:before="0" w:after="283"/>
              <w:jc w:val="left"/>
              <w:rPr/>
            </w:pPr>
            <w:r>
              <w:rPr/>
              <w:t> </w:t>
            </w:r>
          </w:p>
        </w:tc>
      </w:tr>
      <w:tr>
        <w:trPr/>
        <w:tc>
          <w:tcPr>
            <w:tcW w:w="3515" w:type="dxa"/>
            <w:tcBorders/>
            <w:vAlign w:val="center"/>
          </w:tcPr>
          <w:p>
            <w:pPr>
              <w:pStyle w:val="TableContents"/>
              <w:bidi w:val="0"/>
              <w:spacing w:before="0" w:after="283"/>
              <w:jc w:val="left"/>
              <w:rPr/>
            </w:pPr>
            <w:r>
              <w:rPr/>
              <w:t>Series 1 Convertible Preferred Stock</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872,183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5,616,973</w:t>
            </w:r>
          </w:p>
        </w:tc>
        <w:tc>
          <w:tcPr>
            <w:tcW w:w="135" w:type="dxa"/>
            <w:tcBorders/>
            <w:vAlign w:val="center"/>
          </w:tcPr>
          <w:p>
            <w:pPr>
              <w:pStyle w:val="TableContents"/>
              <w:bidi w:val="0"/>
              <w:spacing w:before="0" w:after="283"/>
              <w:jc w:val="left"/>
              <w:rPr/>
            </w:pPr>
            <w:r>
              <w:rPr/>
              <w:t> </w:t>
            </w:r>
          </w:p>
        </w:tc>
      </w:tr>
      <w:tr>
        <w:trPr/>
        <w:tc>
          <w:tcPr>
            <w:tcW w:w="3515" w:type="dxa"/>
            <w:tcBorders/>
            <w:shd w:fill="CCEEFF" w:val="clear"/>
            <w:vAlign w:val="center"/>
          </w:tcPr>
          <w:p>
            <w:pPr>
              <w:pStyle w:val="TableContents"/>
              <w:bidi w:val="0"/>
              <w:spacing w:before="0" w:after="283"/>
              <w:jc w:val="left"/>
              <w:rPr/>
            </w:pPr>
            <w:r>
              <w:rPr/>
              <w:t>Restricted stock units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699,768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510,945</w:t>
            </w:r>
          </w:p>
        </w:tc>
        <w:tc>
          <w:tcPr>
            <w:tcW w:w="135" w:type="dxa"/>
            <w:tcBorders/>
            <w:shd w:fill="CCEEFF" w:val="clear"/>
            <w:vAlign w:val="center"/>
          </w:tcPr>
          <w:p>
            <w:pPr>
              <w:pStyle w:val="TableContents"/>
              <w:bidi w:val="0"/>
              <w:spacing w:before="0" w:after="283"/>
              <w:jc w:val="left"/>
              <w:rPr/>
            </w:pPr>
            <w:r>
              <w:rPr/>
              <w:t> </w:t>
            </w:r>
          </w:p>
        </w:tc>
      </w:tr>
      <w:tr>
        <w:trPr/>
        <w:tc>
          <w:tcPr>
            <w:tcW w:w="3515" w:type="dxa"/>
            <w:tcBorders/>
            <w:vAlign w:val="center"/>
          </w:tcPr>
          <w:p>
            <w:pPr>
              <w:pStyle w:val="TableContents"/>
              <w:bidi w:val="0"/>
              <w:spacing w:before="0" w:after="283"/>
              <w:jc w:val="left"/>
              <w:rPr/>
            </w:pPr>
            <w:r>
              <w:rPr/>
              <w:t>April 2024 Common Warrants</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10,118,380</w:t>
            </w:r>
          </w:p>
        </w:tc>
        <w:tc>
          <w:tcPr>
            <w:tcW w:w="135" w:type="dxa"/>
            <w:tcBorders/>
            <w:vAlign w:val="center"/>
          </w:tcPr>
          <w:p>
            <w:pPr>
              <w:pStyle w:val="TableContents"/>
              <w:bidi w:val="0"/>
              <w:spacing w:before="0" w:after="283"/>
              <w:jc w:val="left"/>
              <w:rPr/>
            </w:pPr>
            <w:r>
              <w:rPr/>
              <w:t> </w:t>
            </w:r>
          </w:p>
        </w:tc>
      </w:tr>
      <w:tr>
        <w:trPr/>
        <w:tc>
          <w:tcPr>
            <w:tcW w:w="3515" w:type="dxa"/>
            <w:tcBorders/>
            <w:shd w:fill="CCEEFF" w:val="clear"/>
            <w:vAlign w:val="center"/>
          </w:tcPr>
          <w:p>
            <w:pPr>
              <w:pStyle w:val="TableContents"/>
              <w:bidi w:val="0"/>
              <w:spacing w:before="0" w:after="283"/>
              <w:jc w:val="left"/>
              <w:rPr/>
            </w:pPr>
            <w:r>
              <w:rPr/>
              <w:t>Total</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pPr>
            <w:r>
              <w:rPr/>
              <w:t>9,048,565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pPr>
            <w:r>
              <w:rPr/>
              <w:t>21,809,325</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 Segment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Chief Executive Officer is the chief operating decision maker, or CODM. The CODM allocates resources and assesses performance of the Company’s single reportable segment by regularly reviewing the segment net income (loss) that also is reported on the condensed consolidated statements of operations and comprehensive loss as consolidated net income (loss). The measure of segment assets is reported on the balance sheet as total consolidated assets.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about the Company’s single reportable segment and the significant expenses reviewed by the CODM, including a reconciliation to consolidated net income (loss):</w:t>
      </w:r>
    </w:p>
    <w:p>
      <w:pPr>
        <w:pStyle w:val="TextBody"/>
        <w:bidi w:val="0"/>
        <w:spacing w:before="0" w:after="0"/>
        <w:ind w:left="0" w:right="0" w:hanging="0"/>
        <w:jc w:val="left"/>
        <w:rPr>
          <w:caps w:val="false"/>
          <w:smallCaps w:val="false"/>
        </w:rPr>
      </w:pPr>
      <w:r>
        <w:rPr>
          <w:caps w:val="false"/>
          <w:smallCaps w:val="false"/>
        </w:rPr>
        <w:t> </w:t>
      </w:r>
    </w:p>
    <w:tbl>
      <w:tblPr>
        <w:tblW w:w="9921" w:type="dxa"/>
        <w:jc w:val="left"/>
        <w:tblInd w:w="0" w:type="dxa"/>
        <w:tblLayout w:type="fixed"/>
        <w:tblCellMar>
          <w:top w:w="0" w:type="dxa"/>
          <w:left w:w="0" w:type="dxa"/>
          <w:bottom w:w="0" w:type="dxa"/>
          <w:right w:w="0" w:type="dxa"/>
        </w:tblCellMar>
      </w:tblPr>
      <w:tblGrid>
        <w:gridCol w:w="3590"/>
        <w:gridCol w:w="90"/>
        <w:gridCol w:w="244"/>
        <w:gridCol w:w="1126"/>
        <w:gridCol w:w="179"/>
        <w:gridCol w:w="129"/>
        <w:gridCol w:w="244"/>
        <w:gridCol w:w="1126"/>
        <w:gridCol w:w="125"/>
        <w:gridCol w:w="90"/>
        <w:gridCol w:w="224"/>
        <w:gridCol w:w="1038"/>
        <w:gridCol w:w="165"/>
        <w:gridCol w:w="119"/>
        <w:gridCol w:w="224"/>
        <w:gridCol w:w="1038"/>
        <w:gridCol w:w="170"/>
      </w:tblGrid>
      <w:tr>
        <w:trPr/>
        <w:tc>
          <w:tcPr>
            <w:tcW w:w="35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304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Three Months Ended</w:t>
              <w:br/>
              <w:t>June 30,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0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Six Months Ended </w:t>
              <w:br/>
              <w:t>June 30,</w:t>
            </w:r>
          </w:p>
        </w:tc>
        <w:tc>
          <w:tcPr>
            <w:tcW w:w="170" w:type="dxa"/>
            <w:tcBorders/>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79"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65"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126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70" w:type="dxa"/>
            <w:tcBorders/>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283"/>
              <w:jc w:val="left"/>
              <w:rPr/>
            </w:pPr>
            <w:r>
              <w:rPr/>
              <w:t>Research and development expenses:</w:t>
            </w:r>
          </w:p>
        </w:tc>
        <w:tc>
          <w:tcPr>
            <w:tcW w:w="9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2" w:type="dxa"/>
            <w:gridSpan w:val="2"/>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1262"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283"/>
              <w:jc w:val="left"/>
              <w:rPr/>
            </w:pPr>
            <w:r>
              <w:rPr/>
              <w:t>TARA-002 in NMIBC</w:t>
            </w:r>
          </w:p>
        </w:tc>
        <w:tc>
          <w:tcPr>
            <w:tcW w:w="9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w:t>
            </w:r>
          </w:p>
        </w:tc>
        <w:tc>
          <w:tcPr>
            <w:tcW w:w="1126" w:type="dxa"/>
            <w:tcBorders/>
            <w:shd w:fill="CCEEFF" w:val="clear"/>
            <w:vAlign w:val="center"/>
          </w:tcPr>
          <w:p>
            <w:pPr>
              <w:pStyle w:val="TableContents"/>
              <w:bidi w:val="0"/>
              <w:spacing w:before="0" w:after="283"/>
              <w:jc w:val="right"/>
              <w:rPr/>
            </w:pPr>
            <w:r>
              <w:rPr/>
              <w:t>6,848</w:t>
            </w:r>
          </w:p>
        </w:tc>
        <w:tc>
          <w:tcPr>
            <w:tcW w:w="179"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w:t>
            </w:r>
          </w:p>
        </w:tc>
        <w:tc>
          <w:tcPr>
            <w:tcW w:w="1126" w:type="dxa"/>
            <w:tcBorders/>
            <w:shd w:fill="CCEEFF" w:val="clear"/>
            <w:vAlign w:val="center"/>
          </w:tcPr>
          <w:p>
            <w:pPr>
              <w:pStyle w:val="TableContents"/>
              <w:bidi w:val="0"/>
              <w:spacing w:before="0" w:after="283"/>
              <w:jc w:val="right"/>
              <w:rPr/>
            </w:pPr>
            <w:r>
              <w:rPr/>
              <w:t>4,898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w:t>
            </w:r>
          </w:p>
        </w:tc>
        <w:tc>
          <w:tcPr>
            <w:tcW w:w="1038" w:type="dxa"/>
            <w:tcBorders/>
            <w:shd w:fill="CCEEFF" w:val="clear"/>
            <w:vAlign w:val="center"/>
          </w:tcPr>
          <w:p>
            <w:pPr>
              <w:pStyle w:val="TableContents"/>
              <w:bidi w:val="0"/>
              <w:spacing w:before="0" w:after="283"/>
              <w:jc w:val="right"/>
              <w:rPr/>
            </w:pPr>
            <w:r>
              <w:rPr/>
              <w:t>12,686</w:t>
            </w:r>
          </w:p>
        </w:tc>
        <w:tc>
          <w:tcPr>
            <w:tcW w:w="165"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w:t>
            </w:r>
          </w:p>
        </w:tc>
        <w:tc>
          <w:tcPr>
            <w:tcW w:w="1038" w:type="dxa"/>
            <w:tcBorders/>
            <w:shd w:fill="CCEEFF" w:val="clear"/>
            <w:vAlign w:val="center"/>
          </w:tcPr>
          <w:p>
            <w:pPr>
              <w:pStyle w:val="TableContents"/>
              <w:bidi w:val="0"/>
              <w:spacing w:before="0" w:after="283"/>
              <w:jc w:val="right"/>
              <w:rPr/>
            </w:pPr>
            <w:r>
              <w:rPr/>
              <w:t>8,455</w:t>
            </w:r>
          </w:p>
        </w:tc>
        <w:tc>
          <w:tcPr>
            <w:tcW w:w="170" w:type="dxa"/>
            <w:tcBorders/>
            <w:shd w:fill="CCEEFF" w:val="clear"/>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283"/>
              <w:jc w:val="left"/>
              <w:rPr/>
            </w:pPr>
            <w:r>
              <w:rPr/>
              <w:t>TARA-002 in LMs</w:t>
            </w:r>
          </w:p>
        </w:tc>
        <w:tc>
          <w:tcPr>
            <w:tcW w:w="90"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 </w:t>
            </w:r>
          </w:p>
        </w:tc>
        <w:tc>
          <w:tcPr>
            <w:tcW w:w="1126" w:type="dxa"/>
            <w:tcBorders/>
            <w:vAlign w:val="center"/>
          </w:tcPr>
          <w:p>
            <w:pPr>
              <w:pStyle w:val="TableContents"/>
              <w:bidi w:val="0"/>
              <w:spacing w:before="0" w:after="283"/>
              <w:jc w:val="right"/>
              <w:rPr/>
            </w:pPr>
            <w:r>
              <w:rPr/>
              <w:t>852</w:t>
            </w:r>
          </w:p>
        </w:tc>
        <w:tc>
          <w:tcPr>
            <w:tcW w:w="179"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 </w:t>
            </w:r>
          </w:p>
        </w:tc>
        <w:tc>
          <w:tcPr>
            <w:tcW w:w="1126" w:type="dxa"/>
            <w:tcBorders/>
            <w:vAlign w:val="center"/>
          </w:tcPr>
          <w:p>
            <w:pPr>
              <w:pStyle w:val="TableContents"/>
              <w:bidi w:val="0"/>
              <w:spacing w:before="0" w:after="283"/>
              <w:jc w:val="right"/>
              <w:rPr/>
            </w:pPr>
            <w:r>
              <w:rPr/>
              <w:t>477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1038" w:type="dxa"/>
            <w:tcBorders/>
            <w:vAlign w:val="center"/>
          </w:tcPr>
          <w:p>
            <w:pPr>
              <w:pStyle w:val="TableContents"/>
              <w:bidi w:val="0"/>
              <w:spacing w:before="0" w:after="283"/>
              <w:jc w:val="right"/>
              <w:rPr/>
            </w:pPr>
            <w:r>
              <w:rPr/>
              <w:t>1,660</w:t>
            </w:r>
          </w:p>
        </w:tc>
        <w:tc>
          <w:tcPr>
            <w:tcW w:w="165"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1038" w:type="dxa"/>
            <w:tcBorders/>
            <w:vAlign w:val="center"/>
          </w:tcPr>
          <w:p>
            <w:pPr>
              <w:pStyle w:val="TableContents"/>
              <w:bidi w:val="0"/>
              <w:spacing w:before="0" w:after="283"/>
              <w:jc w:val="right"/>
              <w:rPr/>
            </w:pPr>
            <w:r>
              <w:rPr/>
              <w:t>1,027</w:t>
            </w:r>
          </w:p>
        </w:tc>
        <w:tc>
          <w:tcPr>
            <w:tcW w:w="170" w:type="dxa"/>
            <w:tcBorders/>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283"/>
              <w:jc w:val="left"/>
              <w:rPr/>
            </w:pPr>
            <w:r>
              <w:rPr/>
              <w:t>IV Choline Chloride</w:t>
            </w:r>
          </w:p>
        </w:tc>
        <w:tc>
          <w:tcPr>
            <w:tcW w:w="9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126" w:type="dxa"/>
            <w:tcBorders/>
            <w:shd w:fill="CCEEFF" w:val="clear"/>
            <w:vAlign w:val="center"/>
          </w:tcPr>
          <w:p>
            <w:pPr>
              <w:pStyle w:val="TableContents"/>
              <w:bidi w:val="0"/>
              <w:spacing w:before="0" w:after="283"/>
              <w:jc w:val="right"/>
              <w:rPr/>
            </w:pPr>
            <w:r>
              <w:rPr/>
              <w:t>2,726</w:t>
            </w:r>
          </w:p>
        </w:tc>
        <w:tc>
          <w:tcPr>
            <w:tcW w:w="179"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126" w:type="dxa"/>
            <w:tcBorders/>
            <w:shd w:fill="CCEEFF" w:val="clear"/>
            <w:vAlign w:val="center"/>
          </w:tcPr>
          <w:p>
            <w:pPr>
              <w:pStyle w:val="TableContents"/>
              <w:bidi w:val="0"/>
              <w:spacing w:before="0" w:after="283"/>
              <w:jc w:val="right"/>
              <w:rPr/>
            </w:pPr>
            <w:r>
              <w:rPr/>
              <w:t>1,852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038" w:type="dxa"/>
            <w:tcBorders/>
            <w:shd w:fill="CCEEFF" w:val="clear"/>
            <w:vAlign w:val="center"/>
          </w:tcPr>
          <w:p>
            <w:pPr>
              <w:pStyle w:val="TableContents"/>
              <w:bidi w:val="0"/>
              <w:spacing w:before="0" w:after="283"/>
              <w:jc w:val="right"/>
              <w:rPr/>
            </w:pPr>
            <w:r>
              <w:rPr/>
              <w:t>4,946</w:t>
            </w:r>
          </w:p>
        </w:tc>
        <w:tc>
          <w:tcPr>
            <w:tcW w:w="165"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038" w:type="dxa"/>
            <w:tcBorders/>
            <w:shd w:fill="CCEEFF" w:val="clear"/>
            <w:vAlign w:val="center"/>
          </w:tcPr>
          <w:p>
            <w:pPr>
              <w:pStyle w:val="TableContents"/>
              <w:bidi w:val="0"/>
              <w:spacing w:before="0" w:after="283"/>
              <w:jc w:val="right"/>
              <w:rPr/>
            </w:pPr>
            <w:r>
              <w:rPr/>
              <w:t>4,367</w:t>
            </w:r>
          </w:p>
        </w:tc>
        <w:tc>
          <w:tcPr>
            <w:tcW w:w="170" w:type="dxa"/>
            <w:tcBorders/>
            <w:shd w:fill="CCEEFF" w:val="clear"/>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283"/>
              <w:jc w:val="left"/>
              <w:rPr/>
            </w:pPr>
            <w:r>
              <w:rPr/>
              <w:t>Other research and development</w:t>
            </w:r>
          </w:p>
        </w:tc>
        <w:tc>
          <w:tcPr>
            <w:tcW w:w="90"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 </w:t>
            </w:r>
          </w:p>
        </w:tc>
        <w:tc>
          <w:tcPr>
            <w:tcW w:w="1126" w:type="dxa"/>
            <w:tcBorders/>
            <w:vAlign w:val="center"/>
          </w:tcPr>
          <w:p>
            <w:pPr>
              <w:pStyle w:val="TableContents"/>
              <w:bidi w:val="0"/>
              <w:spacing w:before="0" w:after="283"/>
              <w:jc w:val="right"/>
              <w:rPr/>
            </w:pPr>
            <w:r>
              <w:rPr/>
              <w:t>6,165</w:t>
            </w:r>
          </w:p>
        </w:tc>
        <w:tc>
          <w:tcPr>
            <w:tcW w:w="179"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 </w:t>
            </w:r>
          </w:p>
        </w:tc>
        <w:tc>
          <w:tcPr>
            <w:tcW w:w="1126" w:type="dxa"/>
            <w:tcBorders/>
            <w:vAlign w:val="center"/>
          </w:tcPr>
          <w:p>
            <w:pPr>
              <w:pStyle w:val="TableContents"/>
              <w:bidi w:val="0"/>
              <w:spacing w:before="0" w:after="283"/>
              <w:jc w:val="right"/>
              <w:rPr/>
            </w:pPr>
            <w:r>
              <w:rPr/>
              <w:t>3,317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1038" w:type="dxa"/>
            <w:tcBorders/>
            <w:vAlign w:val="center"/>
          </w:tcPr>
          <w:p>
            <w:pPr>
              <w:pStyle w:val="TableContents"/>
              <w:bidi w:val="0"/>
              <w:spacing w:before="0" w:after="283"/>
              <w:jc w:val="right"/>
              <w:rPr/>
            </w:pPr>
            <w:r>
              <w:rPr/>
              <w:t>10,449</w:t>
            </w:r>
          </w:p>
        </w:tc>
        <w:tc>
          <w:tcPr>
            <w:tcW w:w="165"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1038" w:type="dxa"/>
            <w:tcBorders/>
            <w:vAlign w:val="center"/>
          </w:tcPr>
          <w:p>
            <w:pPr>
              <w:pStyle w:val="TableContents"/>
              <w:bidi w:val="0"/>
              <w:spacing w:before="0" w:after="283"/>
              <w:jc w:val="right"/>
              <w:rPr/>
            </w:pPr>
            <w:r>
              <w:rPr/>
              <w:t>5,651</w:t>
            </w:r>
          </w:p>
        </w:tc>
        <w:tc>
          <w:tcPr>
            <w:tcW w:w="170" w:type="dxa"/>
            <w:tcBorders/>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283"/>
              <w:jc w:val="left"/>
              <w:rPr/>
            </w:pPr>
            <w:r>
              <w:rPr/>
              <w:t>General and administrative expenses</w:t>
            </w:r>
          </w:p>
        </w:tc>
        <w:tc>
          <w:tcPr>
            <w:tcW w:w="9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126" w:type="dxa"/>
            <w:tcBorders/>
            <w:shd w:fill="CCEEFF" w:val="clear"/>
            <w:vAlign w:val="center"/>
          </w:tcPr>
          <w:p>
            <w:pPr>
              <w:pStyle w:val="TableContents"/>
              <w:bidi w:val="0"/>
              <w:spacing w:before="0" w:after="283"/>
              <w:jc w:val="right"/>
              <w:rPr/>
            </w:pPr>
            <w:r>
              <w:rPr/>
              <w:t>5,349</w:t>
            </w:r>
          </w:p>
        </w:tc>
        <w:tc>
          <w:tcPr>
            <w:tcW w:w="179"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126" w:type="dxa"/>
            <w:tcBorders/>
            <w:shd w:fill="CCEEFF" w:val="clear"/>
            <w:vAlign w:val="center"/>
          </w:tcPr>
          <w:p>
            <w:pPr>
              <w:pStyle w:val="TableContents"/>
              <w:bidi w:val="0"/>
              <w:spacing w:before="0" w:after="283"/>
              <w:jc w:val="right"/>
              <w:rPr/>
            </w:pPr>
            <w:r>
              <w:rPr/>
              <w:t>5,139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038" w:type="dxa"/>
            <w:tcBorders/>
            <w:shd w:fill="CCEEFF" w:val="clear"/>
            <w:vAlign w:val="center"/>
          </w:tcPr>
          <w:p>
            <w:pPr>
              <w:pStyle w:val="TableContents"/>
              <w:bidi w:val="0"/>
              <w:spacing w:before="0" w:after="283"/>
              <w:jc w:val="right"/>
              <w:rPr/>
            </w:pPr>
            <w:r>
              <w:rPr/>
              <w:t>10,466</w:t>
            </w:r>
          </w:p>
        </w:tc>
        <w:tc>
          <w:tcPr>
            <w:tcW w:w="165"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038" w:type="dxa"/>
            <w:tcBorders/>
            <w:shd w:fill="CCEEFF" w:val="clear"/>
            <w:vAlign w:val="center"/>
          </w:tcPr>
          <w:p>
            <w:pPr>
              <w:pStyle w:val="TableContents"/>
              <w:bidi w:val="0"/>
              <w:spacing w:before="0" w:after="283"/>
              <w:jc w:val="right"/>
              <w:rPr/>
            </w:pPr>
            <w:r>
              <w:rPr/>
              <w:t>9,474</w:t>
            </w:r>
          </w:p>
        </w:tc>
        <w:tc>
          <w:tcPr>
            <w:tcW w:w="170" w:type="dxa"/>
            <w:tcBorders/>
            <w:shd w:fill="CCEEFF" w:val="clear"/>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283"/>
              <w:jc w:val="left"/>
              <w:rPr/>
            </w:pPr>
            <w:r>
              <w:rPr/>
              <w:t>Stock-based compensation expense</w:t>
            </w:r>
          </w:p>
        </w:tc>
        <w:tc>
          <w:tcPr>
            <w:tcW w:w="90" w:type="dxa"/>
            <w:tcBorders/>
            <w:vAlign w:val="center"/>
          </w:tcPr>
          <w:p>
            <w:pPr>
              <w:pStyle w:val="TableContents"/>
              <w:bidi w:val="0"/>
              <w:spacing w:before="0" w:after="283"/>
              <w:jc w:val="left"/>
              <w:rPr/>
            </w:pPr>
            <w:r>
              <w:rPr/>
              <w:t> </w:t>
            </w:r>
          </w:p>
        </w:tc>
        <w:tc>
          <w:tcPr>
            <w:tcW w:w="244" w:type="dxa"/>
            <w:tcBorders>
              <w:bottom w:val="single" w:sz="12" w:space="0" w:color="000000"/>
            </w:tcBorders>
            <w:tcMar>
              <w:bottom w:w="28" w:type="dxa"/>
            </w:tcMar>
            <w:vAlign w:val="center"/>
          </w:tcPr>
          <w:p>
            <w:pPr>
              <w:pStyle w:val="TableContents"/>
              <w:bidi w:val="0"/>
              <w:spacing w:before="0" w:after="283"/>
              <w:jc w:val="left"/>
              <w:rPr/>
            </w:pPr>
            <w:r>
              <w:rPr/>
              <w:t> </w:t>
            </w:r>
          </w:p>
        </w:tc>
        <w:tc>
          <w:tcPr>
            <w:tcW w:w="1126" w:type="dxa"/>
            <w:tcBorders>
              <w:bottom w:val="single" w:sz="12" w:space="0" w:color="000000"/>
            </w:tcBorders>
            <w:tcMar>
              <w:bottom w:w="28" w:type="dxa"/>
            </w:tcMar>
            <w:vAlign w:val="center"/>
          </w:tcPr>
          <w:p>
            <w:pPr>
              <w:pStyle w:val="TableContents"/>
              <w:bidi w:val="0"/>
              <w:spacing w:before="0" w:after="283"/>
              <w:jc w:val="right"/>
              <w:rPr/>
            </w:pPr>
            <w:r>
              <w:rPr/>
              <w:t>1,384</w:t>
            </w:r>
          </w:p>
        </w:tc>
        <w:tc>
          <w:tcPr>
            <w:tcW w:w="179"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244" w:type="dxa"/>
            <w:tcBorders>
              <w:bottom w:val="single" w:sz="12" w:space="0" w:color="000000"/>
            </w:tcBorders>
            <w:tcMar>
              <w:bottom w:w="28" w:type="dxa"/>
            </w:tcMar>
            <w:vAlign w:val="center"/>
          </w:tcPr>
          <w:p>
            <w:pPr>
              <w:pStyle w:val="TableContents"/>
              <w:bidi w:val="0"/>
              <w:spacing w:before="0" w:after="283"/>
              <w:jc w:val="left"/>
              <w:rPr/>
            </w:pPr>
            <w:r>
              <w:rPr/>
              <w:t> </w:t>
            </w:r>
          </w:p>
        </w:tc>
        <w:tc>
          <w:tcPr>
            <w:tcW w:w="1126" w:type="dxa"/>
            <w:tcBorders>
              <w:bottom w:val="single" w:sz="12" w:space="0" w:color="000000"/>
            </w:tcBorders>
            <w:tcMar>
              <w:bottom w:w="28" w:type="dxa"/>
            </w:tcMar>
            <w:vAlign w:val="center"/>
          </w:tcPr>
          <w:p>
            <w:pPr>
              <w:pStyle w:val="TableContents"/>
              <w:bidi w:val="0"/>
              <w:spacing w:before="0" w:after="283"/>
              <w:jc w:val="right"/>
              <w:rPr/>
            </w:pPr>
            <w:r>
              <w:rPr/>
              <w:t>903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4" w:type="dxa"/>
            <w:tcBorders>
              <w:bottom w:val="single" w:sz="12" w:space="0" w:color="000000"/>
            </w:tcBorders>
            <w:tcMar>
              <w:bottom w:w="28" w:type="dxa"/>
            </w:tcMar>
            <w:vAlign w:val="center"/>
          </w:tcPr>
          <w:p>
            <w:pPr>
              <w:pStyle w:val="TableContents"/>
              <w:bidi w:val="0"/>
              <w:spacing w:before="0" w:after="283"/>
              <w:jc w:val="left"/>
              <w:rPr/>
            </w:pPr>
            <w:r>
              <w:rPr/>
              <w:t> </w:t>
            </w:r>
          </w:p>
        </w:tc>
        <w:tc>
          <w:tcPr>
            <w:tcW w:w="1038" w:type="dxa"/>
            <w:tcBorders>
              <w:bottom w:val="single" w:sz="12" w:space="0" w:color="000000"/>
            </w:tcBorders>
            <w:tcMar>
              <w:bottom w:w="28" w:type="dxa"/>
            </w:tcMar>
            <w:vAlign w:val="center"/>
          </w:tcPr>
          <w:p>
            <w:pPr>
              <w:pStyle w:val="TableContents"/>
              <w:bidi w:val="0"/>
              <w:spacing w:before="0" w:after="283"/>
              <w:jc w:val="right"/>
              <w:rPr/>
            </w:pPr>
            <w:r>
              <w:rPr/>
              <w:t>2,746</w:t>
            </w:r>
          </w:p>
        </w:tc>
        <w:tc>
          <w:tcPr>
            <w:tcW w:w="165"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224" w:type="dxa"/>
            <w:tcBorders>
              <w:bottom w:val="single" w:sz="12" w:space="0" w:color="000000"/>
            </w:tcBorders>
            <w:tcMar>
              <w:bottom w:w="28" w:type="dxa"/>
            </w:tcMar>
            <w:vAlign w:val="center"/>
          </w:tcPr>
          <w:p>
            <w:pPr>
              <w:pStyle w:val="TableContents"/>
              <w:bidi w:val="0"/>
              <w:spacing w:before="0" w:after="283"/>
              <w:jc w:val="left"/>
              <w:rPr/>
            </w:pPr>
            <w:r>
              <w:rPr/>
              <w:t> </w:t>
            </w:r>
          </w:p>
        </w:tc>
        <w:tc>
          <w:tcPr>
            <w:tcW w:w="1038" w:type="dxa"/>
            <w:tcBorders>
              <w:bottom w:val="single" w:sz="12" w:space="0" w:color="000000"/>
            </w:tcBorders>
            <w:tcMar>
              <w:bottom w:w="28" w:type="dxa"/>
            </w:tcMar>
            <w:vAlign w:val="center"/>
          </w:tcPr>
          <w:p>
            <w:pPr>
              <w:pStyle w:val="TableContents"/>
              <w:bidi w:val="0"/>
              <w:spacing w:before="0" w:after="283"/>
              <w:jc w:val="right"/>
              <w:rPr/>
            </w:pPr>
            <w:r>
              <w:rPr/>
              <w:t>1,736</w:t>
            </w:r>
          </w:p>
        </w:tc>
        <w:tc>
          <w:tcPr>
            <w:tcW w:w="170" w:type="dxa"/>
            <w:tcBorders/>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283"/>
              <w:jc w:val="left"/>
              <w:rPr/>
            </w:pPr>
            <w:r>
              <w:rPr/>
              <w:t>Income (loss) from operations</w:t>
            </w:r>
          </w:p>
        </w:tc>
        <w:tc>
          <w:tcPr>
            <w:tcW w:w="9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126" w:type="dxa"/>
            <w:tcBorders/>
            <w:shd w:fill="CCEEFF" w:val="clear"/>
            <w:vAlign w:val="center"/>
          </w:tcPr>
          <w:p>
            <w:pPr>
              <w:pStyle w:val="TableContents"/>
              <w:bidi w:val="0"/>
              <w:spacing w:before="0" w:after="283"/>
              <w:jc w:val="right"/>
              <w:rPr/>
            </w:pPr>
            <w:r>
              <w:rPr/>
              <w:t>(23,324</w:t>
            </w:r>
          </w:p>
        </w:tc>
        <w:tc>
          <w:tcPr>
            <w:tcW w:w="179" w:type="dxa"/>
            <w:tcBorders/>
            <w:shd w:fill="CCEEFF" w:val="clear"/>
            <w:vAlign w:val="center"/>
          </w:tcPr>
          <w:p>
            <w:pPr>
              <w:pStyle w:val="TableContents"/>
              <w:bidi w:val="0"/>
              <w:spacing w:before="0" w:after="283"/>
              <w:jc w:val="left"/>
              <w:rPr/>
            </w:pPr>
            <w:r>
              <w:rPr/>
              <w:t>)</w:t>
            </w:r>
          </w:p>
        </w:tc>
        <w:tc>
          <w:tcPr>
            <w:tcW w:w="129"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126" w:type="dxa"/>
            <w:tcBorders/>
            <w:shd w:fill="CCEEFF" w:val="clear"/>
            <w:vAlign w:val="center"/>
          </w:tcPr>
          <w:p>
            <w:pPr>
              <w:pStyle w:val="TableContents"/>
              <w:bidi w:val="0"/>
              <w:spacing w:before="0" w:after="283"/>
              <w:jc w:val="right"/>
              <w:rPr/>
            </w:pPr>
            <w:r>
              <w:rPr/>
              <w:t>(16,586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038" w:type="dxa"/>
            <w:tcBorders/>
            <w:shd w:fill="CCEEFF" w:val="clear"/>
            <w:vAlign w:val="center"/>
          </w:tcPr>
          <w:p>
            <w:pPr>
              <w:pStyle w:val="TableContents"/>
              <w:bidi w:val="0"/>
              <w:spacing w:before="0" w:after="283"/>
              <w:jc w:val="right"/>
              <w:rPr/>
            </w:pPr>
            <w:r>
              <w:rPr/>
              <w:t>(42,953</w:t>
            </w:r>
          </w:p>
        </w:tc>
        <w:tc>
          <w:tcPr>
            <w:tcW w:w="165" w:type="dxa"/>
            <w:tcBorders/>
            <w:shd w:fill="CCEEFF" w:val="clear"/>
            <w:vAlign w:val="center"/>
          </w:tcPr>
          <w:p>
            <w:pPr>
              <w:pStyle w:val="TableContents"/>
              <w:bidi w:val="0"/>
              <w:spacing w:before="0" w:after="283"/>
              <w:jc w:val="left"/>
              <w:rPr/>
            </w:pPr>
            <w:r>
              <w:rPr/>
              <w:t>)</w:t>
            </w:r>
          </w:p>
        </w:tc>
        <w:tc>
          <w:tcPr>
            <w:tcW w:w="119"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038" w:type="dxa"/>
            <w:tcBorders/>
            <w:shd w:fill="CCEEFF" w:val="clear"/>
            <w:vAlign w:val="center"/>
          </w:tcPr>
          <w:p>
            <w:pPr>
              <w:pStyle w:val="TableContents"/>
              <w:bidi w:val="0"/>
              <w:spacing w:before="0" w:after="283"/>
              <w:jc w:val="right"/>
              <w:rPr/>
            </w:pPr>
            <w:r>
              <w:rPr/>
              <w:t>(30,710</w:t>
            </w:r>
          </w:p>
        </w:tc>
        <w:tc>
          <w:tcPr>
            <w:tcW w:w="170" w:type="dxa"/>
            <w:tcBorders/>
            <w:shd w:fill="CCEEFF" w:val="clear"/>
            <w:vAlign w:val="center"/>
          </w:tcPr>
          <w:p>
            <w:pPr>
              <w:pStyle w:val="TableContents"/>
              <w:bidi w:val="0"/>
              <w:spacing w:before="0" w:after="283"/>
              <w:jc w:val="left"/>
              <w:rPr/>
            </w:pPr>
            <w:r>
              <w:rPr/>
              <w:t>)</w:t>
            </w:r>
          </w:p>
        </w:tc>
      </w:tr>
      <w:tr>
        <w:trPr/>
        <w:tc>
          <w:tcPr>
            <w:tcW w:w="3590" w:type="dxa"/>
            <w:tcBorders/>
            <w:vAlign w:val="center"/>
          </w:tcPr>
          <w:p>
            <w:pPr>
              <w:pStyle w:val="TableContents"/>
              <w:bidi w:val="0"/>
              <w:spacing w:before="0" w:after="283"/>
              <w:jc w:val="left"/>
              <w:rPr/>
            </w:pPr>
            <w:r>
              <w:rPr/>
              <w:t>Other income (expense), net</w:t>
            </w:r>
          </w:p>
        </w:tc>
        <w:tc>
          <w:tcPr>
            <w:tcW w:w="90" w:type="dxa"/>
            <w:tcBorders/>
            <w:vAlign w:val="center"/>
          </w:tcPr>
          <w:p>
            <w:pPr>
              <w:pStyle w:val="TableContents"/>
              <w:bidi w:val="0"/>
              <w:spacing w:before="0" w:after="283"/>
              <w:jc w:val="left"/>
              <w:rPr/>
            </w:pPr>
            <w:r>
              <w:rPr/>
              <w:t> </w:t>
            </w:r>
          </w:p>
        </w:tc>
        <w:tc>
          <w:tcPr>
            <w:tcW w:w="244" w:type="dxa"/>
            <w:tcBorders>
              <w:bottom w:val="single" w:sz="12" w:space="0" w:color="000000"/>
            </w:tcBorders>
            <w:tcMar>
              <w:bottom w:w="28" w:type="dxa"/>
            </w:tcMar>
            <w:vAlign w:val="center"/>
          </w:tcPr>
          <w:p>
            <w:pPr>
              <w:pStyle w:val="TableContents"/>
              <w:bidi w:val="0"/>
              <w:spacing w:before="0" w:after="283"/>
              <w:jc w:val="left"/>
              <w:rPr/>
            </w:pPr>
            <w:r>
              <w:rPr/>
              <w:t> </w:t>
            </w:r>
          </w:p>
        </w:tc>
        <w:tc>
          <w:tcPr>
            <w:tcW w:w="1126" w:type="dxa"/>
            <w:tcBorders>
              <w:bottom w:val="single" w:sz="12" w:space="0" w:color="000000"/>
            </w:tcBorders>
            <w:tcMar>
              <w:bottom w:w="28" w:type="dxa"/>
            </w:tcMar>
            <w:vAlign w:val="center"/>
          </w:tcPr>
          <w:p>
            <w:pPr>
              <w:pStyle w:val="TableContents"/>
              <w:bidi w:val="0"/>
              <w:spacing w:before="0" w:after="283"/>
              <w:jc w:val="right"/>
              <w:rPr/>
            </w:pPr>
            <w:r>
              <w:rPr/>
              <w:t>1,656</w:t>
            </w:r>
          </w:p>
        </w:tc>
        <w:tc>
          <w:tcPr>
            <w:tcW w:w="179"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244" w:type="dxa"/>
            <w:tcBorders>
              <w:bottom w:val="single" w:sz="12" w:space="0" w:color="000000"/>
            </w:tcBorders>
            <w:tcMar>
              <w:bottom w:w="28" w:type="dxa"/>
            </w:tcMar>
            <w:vAlign w:val="center"/>
          </w:tcPr>
          <w:p>
            <w:pPr>
              <w:pStyle w:val="TableContents"/>
              <w:bidi w:val="0"/>
              <w:spacing w:before="0" w:after="283"/>
              <w:jc w:val="left"/>
              <w:rPr/>
            </w:pPr>
            <w:r>
              <w:rPr/>
              <w:t> </w:t>
            </w:r>
          </w:p>
        </w:tc>
        <w:tc>
          <w:tcPr>
            <w:tcW w:w="1126" w:type="dxa"/>
            <w:tcBorders>
              <w:bottom w:val="single" w:sz="12" w:space="0" w:color="000000"/>
            </w:tcBorders>
            <w:tcMar>
              <w:bottom w:w="28" w:type="dxa"/>
            </w:tcMar>
            <w:vAlign w:val="center"/>
          </w:tcPr>
          <w:p>
            <w:pPr>
              <w:pStyle w:val="TableContents"/>
              <w:bidi w:val="0"/>
              <w:spacing w:before="0" w:after="283"/>
              <w:jc w:val="right"/>
              <w:rPr/>
            </w:pPr>
            <w:r>
              <w:rPr/>
              <w:t>1,626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4" w:type="dxa"/>
            <w:tcBorders>
              <w:bottom w:val="single" w:sz="12" w:space="0" w:color="000000"/>
            </w:tcBorders>
            <w:tcMar>
              <w:bottom w:w="28" w:type="dxa"/>
            </w:tcMar>
            <w:vAlign w:val="center"/>
          </w:tcPr>
          <w:p>
            <w:pPr>
              <w:pStyle w:val="TableContents"/>
              <w:bidi w:val="0"/>
              <w:spacing w:before="0" w:after="283"/>
              <w:jc w:val="left"/>
              <w:rPr/>
            </w:pPr>
            <w:r>
              <w:rPr/>
              <w:t> </w:t>
            </w:r>
          </w:p>
        </w:tc>
        <w:tc>
          <w:tcPr>
            <w:tcW w:w="1038" w:type="dxa"/>
            <w:tcBorders>
              <w:bottom w:val="single" w:sz="12" w:space="0" w:color="000000"/>
            </w:tcBorders>
            <w:tcMar>
              <w:bottom w:w="28" w:type="dxa"/>
            </w:tcMar>
            <w:vAlign w:val="center"/>
          </w:tcPr>
          <w:p>
            <w:pPr>
              <w:pStyle w:val="TableContents"/>
              <w:bidi w:val="0"/>
              <w:spacing w:before="0" w:after="283"/>
              <w:jc w:val="right"/>
              <w:rPr/>
            </w:pPr>
            <w:r>
              <w:rPr/>
              <w:t>3,503</w:t>
            </w:r>
          </w:p>
        </w:tc>
        <w:tc>
          <w:tcPr>
            <w:tcW w:w="165"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224" w:type="dxa"/>
            <w:tcBorders>
              <w:bottom w:val="single" w:sz="12" w:space="0" w:color="000000"/>
            </w:tcBorders>
            <w:tcMar>
              <w:bottom w:w="28" w:type="dxa"/>
            </w:tcMar>
            <w:vAlign w:val="center"/>
          </w:tcPr>
          <w:p>
            <w:pPr>
              <w:pStyle w:val="TableContents"/>
              <w:bidi w:val="0"/>
              <w:spacing w:before="0" w:after="283"/>
              <w:jc w:val="left"/>
              <w:rPr/>
            </w:pPr>
            <w:r>
              <w:rPr/>
              <w:t> </w:t>
            </w:r>
          </w:p>
        </w:tc>
        <w:tc>
          <w:tcPr>
            <w:tcW w:w="1038" w:type="dxa"/>
            <w:tcBorders>
              <w:bottom w:val="single" w:sz="12" w:space="0" w:color="000000"/>
            </w:tcBorders>
            <w:tcMar>
              <w:bottom w:w="28" w:type="dxa"/>
            </w:tcMar>
            <w:vAlign w:val="center"/>
          </w:tcPr>
          <w:p>
            <w:pPr>
              <w:pStyle w:val="TableContents"/>
              <w:bidi w:val="0"/>
              <w:spacing w:before="0" w:after="283"/>
              <w:jc w:val="right"/>
              <w:rPr/>
            </w:pPr>
            <w:r>
              <w:rPr/>
              <w:t>3,836</w:t>
            </w:r>
          </w:p>
        </w:tc>
        <w:tc>
          <w:tcPr>
            <w:tcW w:w="170" w:type="dxa"/>
            <w:tcBorders/>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283"/>
              <w:jc w:val="left"/>
              <w:rPr/>
            </w:pPr>
            <w:r>
              <w:rPr/>
              <w:t>Segment net income (loss)</w:t>
            </w:r>
          </w:p>
        </w:tc>
        <w:tc>
          <w:tcPr>
            <w:tcW w:w="9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126" w:type="dxa"/>
            <w:tcBorders/>
            <w:shd w:fill="CCEEFF" w:val="clear"/>
            <w:vAlign w:val="center"/>
          </w:tcPr>
          <w:p>
            <w:pPr>
              <w:pStyle w:val="TableContents"/>
              <w:bidi w:val="0"/>
              <w:spacing w:before="0" w:after="283"/>
              <w:jc w:val="right"/>
              <w:rPr/>
            </w:pPr>
            <w:r>
              <w:rPr/>
              <w:t>(21,668</w:t>
            </w:r>
          </w:p>
        </w:tc>
        <w:tc>
          <w:tcPr>
            <w:tcW w:w="179" w:type="dxa"/>
            <w:tcBorders/>
            <w:shd w:fill="CCEEFF" w:val="clear"/>
            <w:vAlign w:val="center"/>
          </w:tcPr>
          <w:p>
            <w:pPr>
              <w:pStyle w:val="TableContents"/>
              <w:bidi w:val="0"/>
              <w:spacing w:before="0" w:after="283"/>
              <w:jc w:val="left"/>
              <w:rPr/>
            </w:pPr>
            <w:r>
              <w:rPr/>
              <w:t>)</w:t>
            </w:r>
          </w:p>
        </w:tc>
        <w:tc>
          <w:tcPr>
            <w:tcW w:w="129"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126" w:type="dxa"/>
            <w:tcBorders/>
            <w:shd w:fill="CCEEFF" w:val="clear"/>
            <w:vAlign w:val="center"/>
          </w:tcPr>
          <w:p>
            <w:pPr>
              <w:pStyle w:val="TableContents"/>
              <w:bidi w:val="0"/>
              <w:spacing w:before="0" w:after="283"/>
              <w:jc w:val="right"/>
              <w:rPr/>
            </w:pPr>
            <w:r>
              <w:rPr/>
              <w:t>(14,960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038" w:type="dxa"/>
            <w:tcBorders/>
            <w:shd w:fill="CCEEFF" w:val="clear"/>
            <w:vAlign w:val="center"/>
          </w:tcPr>
          <w:p>
            <w:pPr>
              <w:pStyle w:val="TableContents"/>
              <w:bidi w:val="0"/>
              <w:spacing w:before="0" w:after="283"/>
              <w:jc w:val="right"/>
              <w:rPr/>
            </w:pPr>
            <w:r>
              <w:rPr/>
              <w:t>(39,450</w:t>
            </w:r>
          </w:p>
        </w:tc>
        <w:tc>
          <w:tcPr>
            <w:tcW w:w="165" w:type="dxa"/>
            <w:tcBorders/>
            <w:shd w:fill="CCEEFF" w:val="clear"/>
            <w:vAlign w:val="center"/>
          </w:tcPr>
          <w:p>
            <w:pPr>
              <w:pStyle w:val="TableContents"/>
              <w:bidi w:val="0"/>
              <w:spacing w:before="0" w:after="283"/>
              <w:jc w:val="left"/>
              <w:rPr/>
            </w:pPr>
            <w:r>
              <w:rPr/>
              <w:t>)</w:t>
            </w:r>
          </w:p>
        </w:tc>
        <w:tc>
          <w:tcPr>
            <w:tcW w:w="119"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038" w:type="dxa"/>
            <w:tcBorders/>
            <w:shd w:fill="CCEEFF" w:val="clear"/>
            <w:vAlign w:val="center"/>
          </w:tcPr>
          <w:p>
            <w:pPr>
              <w:pStyle w:val="TableContents"/>
              <w:bidi w:val="0"/>
              <w:spacing w:before="0" w:after="283"/>
              <w:jc w:val="right"/>
              <w:rPr/>
            </w:pPr>
            <w:r>
              <w:rPr/>
              <w:t>(26,874</w:t>
            </w:r>
          </w:p>
        </w:tc>
        <w:tc>
          <w:tcPr>
            <w:tcW w:w="170" w:type="dxa"/>
            <w:tcBorders/>
            <w:shd w:fill="CCEEFF" w:val="clear"/>
            <w:vAlign w:val="center"/>
          </w:tcPr>
          <w:p>
            <w:pPr>
              <w:pStyle w:val="TableContents"/>
              <w:bidi w:val="0"/>
              <w:spacing w:before="0" w:after="283"/>
              <w:jc w:val="left"/>
              <w:rPr/>
            </w:pPr>
            <w:r>
              <w:rPr/>
              <w:t>)</w:t>
            </w:r>
          </w:p>
        </w:tc>
      </w:tr>
      <w:tr>
        <w:trPr/>
        <w:tc>
          <w:tcPr>
            <w:tcW w:w="3590" w:type="dxa"/>
            <w:tcBorders/>
            <w:vAlign w:val="center"/>
          </w:tcPr>
          <w:p>
            <w:pPr>
              <w:pStyle w:val="TableContents"/>
              <w:bidi w:val="0"/>
              <w:spacing w:before="0" w:after="283"/>
              <w:jc w:val="left"/>
              <w:rPr/>
            </w:pPr>
            <w:r>
              <w:rPr/>
              <w:t>Adjustments and reconciling items</w:t>
            </w:r>
          </w:p>
        </w:tc>
        <w:tc>
          <w:tcPr>
            <w:tcW w:w="90" w:type="dxa"/>
            <w:tcBorders/>
            <w:vAlign w:val="center"/>
          </w:tcPr>
          <w:p>
            <w:pPr>
              <w:pStyle w:val="TableContents"/>
              <w:bidi w:val="0"/>
              <w:spacing w:before="0" w:after="283"/>
              <w:jc w:val="left"/>
              <w:rPr/>
            </w:pPr>
            <w:r>
              <w:rPr/>
              <w:t> </w:t>
            </w:r>
          </w:p>
        </w:tc>
        <w:tc>
          <w:tcPr>
            <w:tcW w:w="244" w:type="dxa"/>
            <w:tcBorders>
              <w:bottom w:val="single" w:sz="12" w:space="0" w:color="000000"/>
            </w:tcBorders>
            <w:tcMar>
              <w:bottom w:w="28" w:type="dxa"/>
            </w:tcMar>
            <w:vAlign w:val="center"/>
          </w:tcPr>
          <w:p>
            <w:pPr>
              <w:pStyle w:val="TableContents"/>
              <w:bidi w:val="0"/>
              <w:spacing w:before="0" w:after="283"/>
              <w:jc w:val="left"/>
              <w:rPr/>
            </w:pPr>
            <w:r>
              <w:rPr/>
              <w:t> </w:t>
            </w:r>
          </w:p>
        </w:tc>
        <w:tc>
          <w:tcPr>
            <w:tcW w:w="1126" w:type="dxa"/>
            <w:tcBorders>
              <w:bottom w:val="single" w:sz="12" w:space="0" w:color="000000"/>
            </w:tcBorders>
            <w:tcMar>
              <w:bottom w:w="28" w:type="dxa"/>
            </w:tcMar>
            <w:vAlign w:val="center"/>
          </w:tcPr>
          <w:p>
            <w:pPr>
              <w:pStyle w:val="TableContents"/>
              <w:bidi w:val="0"/>
              <w:spacing w:before="0" w:after="0"/>
              <w:jc w:val="right"/>
              <w:rPr/>
            </w:pPr>
            <w:r>
              <w:rPr/>
              <w:t>-</w:t>
            </w:r>
          </w:p>
        </w:tc>
        <w:tc>
          <w:tcPr>
            <w:tcW w:w="179"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244" w:type="dxa"/>
            <w:tcBorders>
              <w:bottom w:val="single" w:sz="12" w:space="0" w:color="000000"/>
            </w:tcBorders>
            <w:tcMar>
              <w:bottom w:w="28" w:type="dxa"/>
            </w:tcMar>
            <w:vAlign w:val="center"/>
          </w:tcPr>
          <w:p>
            <w:pPr>
              <w:pStyle w:val="TableContents"/>
              <w:bidi w:val="0"/>
              <w:spacing w:before="0" w:after="283"/>
              <w:jc w:val="left"/>
              <w:rPr/>
            </w:pPr>
            <w:r>
              <w:rPr/>
              <w:t> </w:t>
            </w:r>
          </w:p>
        </w:tc>
        <w:tc>
          <w:tcPr>
            <w:tcW w:w="1126"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4" w:type="dxa"/>
            <w:tcBorders>
              <w:bottom w:val="single" w:sz="12" w:space="0" w:color="000000"/>
            </w:tcBorders>
            <w:tcMar>
              <w:bottom w:w="28" w:type="dxa"/>
            </w:tcMar>
            <w:vAlign w:val="center"/>
          </w:tcPr>
          <w:p>
            <w:pPr>
              <w:pStyle w:val="TableContents"/>
              <w:bidi w:val="0"/>
              <w:spacing w:before="0" w:after="283"/>
              <w:jc w:val="left"/>
              <w:rPr/>
            </w:pPr>
            <w:r>
              <w:rPr/>
              <w:t> </w:t>
            </w:r>
          </w:p>
        </w:tc>
        <w:tc>
          <w:tcPr>
            <w:tcW w:w="1038" w:type="dxa"/>
            <w:tcBorders>
              <w:bottom w:val="single" w:sz="12" w:space="0" w:color="000000"/>
            </w:tcBorders>
            <w:tcMar>
              <w:bottom w:w="28" w:type="dxa"/>
            </w:tcMar>
            <w:vAlign w:val="center"/>
          </w:tcPr>
          <w:p>
            <w:pPr>
              <w:pStyle w:val="TableContents"/>
              <w:bidi w:val="0"/>
              <w:spacing w:before="0" w:after="0"/>
              <w:jc w:val="right"/>
              <w:rPr/>
            </w:pPr>
            <w:r>
              <w:rPr/>
              <w:t>-</w:t>
            </w:r>
          </w:p>
        </w:tc>
        <w:tc>
          <w:tcPr>
            <w:tcW w:w="165"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224" w:type="dxa"/>
            <w:tcBorders>
              <w:bottom w:val="single" w:sz="12" w:space="0" w:color="000000"/>
            </w:tcBorders>
            <w:tcMar>
              <w:bottom w:w="28" w:type="dxa"/>
            </w:tcMar>
            <w:vAlign w:val="center"/>
          </w:tcPr>
          <w:p>
            <w:pPr>
              <w:pStyle w:val="TableContents"/>
              <w:bidi w:val="0"/>
              <w:spacing w:before="0" w:after="283"/>
              <w:jc w:val="left"/>
              <w:rPr/>
            </w:pPr>
            <w:r>
              <w:rPr/>
              <w:t> </w:t>
            </w:r>
          </w:p>
        </w:tc>
        <w:tc>
          <w:tcPr>
            <w:tcW w:w="1038" w:type="dxa"/>
            <w:tcBorders>
              <w:bottom w:val="single" w:sz="12" w:space="0" w:color="000000"/>
            </w:tcBorders>
            <w:tcMar>
              <w:bottom w:w="28" w:type="dxa"/>
            </w:tcMar>
            <w:vAlign w:val="center"/>
          </w:tcPr>
          <w:p>
            <w:pPr>
              <w:pStyle w:val="TableContents"/>
              <w:bidi w:val="0"/>
              <w:spacing w:before="0" w:after="0"/>
              <w:jc w:val="right"/>
              <w:rPr/>
            </w:pPr>
            <w:r>
              <w:rPr/>
              <w:t>-</w:t>
            </w:r>
          </w:p>
        </w:tc>
        <w:tc>
          <w:tcPr>
            <w:tcW w:w="170" w:type="dxa"/>
            <w:tcBorders/>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283"/>
              <w:jc w:val="left"/>
              <w:rPr/>
            </w:pPr>
            <w:r>
              <w:rPr/>
              <w:t>Net income (loss)</w:t>
            </w:r>
          </w:p>
        </w:tc>
        <w:tc>
          <w:tcPr>
            <w:tcW w:w="90" w:type="dxa"/>
            <w:tcBorders/>
            <w:shd w:fill="CCEEFF" w:val="clear"/>
            <w:vAlign w:val="center"/>
          </w:tcPr>
          <w:p>
            <w:pPr>
              <w:pStyle w:val="TableContents"/>
              <w:bidi w:val="0"/>
              <w:spacing w:before="0" w:after="283"/>
              <w:jc w:val="left"/>
              <w:rPr/>
            </w:pPr>
            <w:r>
              <w:rPr/>
              <w:t> </w:t>
            </w:r>
          </w:p>
        </w:tc>
        <w:tc>
          <w:tcPr>
            <w:tcW w:w="24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26" w:type="dxa"/>
            <w:tcBorders>
              <w:bottom w:val="double" w:sz="10" w:space="0" w:color="000000"/>
            </w:tcBorders>
            <w:shd w:fill="CCEEFF" w:val="clear"/>
            <w:tcMar>
              <w:bottom w:w="28" w:type="dxa"/>
            </w:tcMar>
            <w:vAlign w:val="center"/>
          </w:tcPr>
          <w:p>
            <w:pPr>
              <w:pStyle w:val="TableContents"/>
              <w:bidi w:val="0"/>
              <w:spacing w:before="0" w:after="283"/>
              <w:jc w:val="right"/>
              <w:rPr/>
            </w:pPr>
            <w:r>
              <w:rPr/>
              <w:t>(21,668</w:t>
            </w:r>
          </w:p>
        </w:tc>
        <w:tc>
          <w:tcPr>
            <w:tcW w:w="179" w:type="dxa"/>
            <w:tcBorders/>
            <w:shd w:fill="CCEEFF" w:val="clear"/>
            <w:vAlign w:val="center"/>
          </w:tcPr>
          <w:p>
            <w:pPr>
              <w:pStyle w:val="TableContents"/>
              <w:bidi w:val="0"/>
              <w:spacing w:before="0" w:after="283"/>
              <w:jc w:val="left"/>
              <w:rPr/>
            </w:pPr>
            <w:r>
              <w:rPr/>
              <w:t>)</w:t>
            </w:r>
          </w:p>
        </w:tc>
        <w:tc>
          <w:tcPr>
            <w:tcW w:w="129" w:type="dxa"/>
            <w:tcBorders/>
            <w:shd w:fill="CCEEFF" w:val="clear"/>
            <w:vAlign w:val="center"/>
          </w:tcPr>
          <w:p>
            <w:pPr>
              <w:pStyle w:val="TableContents"/>
              <w:bidi w:val="0"/>
              <w:spacing w:before="0" w:after="283"/>
              <w:jc w:val="left"/>
              <w:rPr/>
            </w:pPr>
            <w:r>
              <w:rPr/>
              <w:t> </w:t>
            </w:r>
          </w:p>
        </w:tc>
        <w:tc>
          <w:tcPr>
            <w:tcW w:w="24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26" w:type="dxa"/>
            <w:tcBorders>
              <w:bottom w:val="double" w:sz="10" w:space="0" w:color="000000"/>
            </w:tcBorders>
            <w:shd w:fill="CCEEFF" w:val="clear"/>
            <w:tcMar>
              <w:bottom w:w="28" w:type="dxa"/>
            </w:tcMar>
            <w:vAlign w:val="center"/>
          </w:tcPr>
          <w:p>
            <w:pPr>
              <w:pStyle w:val="TableContents"/>
              <w:bidi w:val="0"/>
              <w:spacing w:before="0" w:after="283"/>
              <w:jc w:val="right"/>
              <w:rPr/>
            </w:pPr>
            <w:r>
              <w:rPr/>
              <w:t>(14,960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2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38" w:type="dxa"/>
            <w:tcBorders>
              <w:bottom w:val="double" w:sz="10" w:space="0" w:color="000000"/>
            </w:tcBorders>
            <w:shd w:fill="CCEEFF" w:val="clear"/>
            <w:tcMar>
              <w:bottom w:w="28" w:type="dxa"/>
            </w:tcMar>
            <w:vAlign w:val="center"/>
          </w:tcPr>
          <w:p>
            <w:pPr>
              <w:pStyle w:val="TableContents"/>
              <w:bidi w:val="0"/>
              <w:spacing w:before="0" w:after="283"/>
              <w:jc w:val="right"/>
              <w:rPr/>
            </w:pPr>
            <w:r>
              <w:rPr/>
              <w:t>(39,450</w:t>
            </w:r>
          </w:p>
        </w:tc>
        <w:tc>
          <w:tcPr>
            <w:tcW w:w="165" w:type="dxa"/>
            <w:tcBorders/>
            <w:shd w:fill="CCEEFF" w:val="clear"/>
            <w:vAlign w:val="center"/>
          </w:tcPr>
          <w:p>
            <w:pPr>
              <w:pStyle w:val="TableContents"/>
              <w:bidi w:val="0"/>
              <w:spacing w:before="0" w:after="283"/>
              <w:jc w:val="left"/>
              <w:rPr/>
            </w:pPr>
            <w:r>
              <w:rPr/>
              <w:t>)</w:t>
            </w:r>
          </w:p>
        </w:tc>
        <w:tc>
          <w:tcPr>
            <w:tcW w:w="119" w:type="dxa"/>
            <w:tcBorders/>
            <w:shd w:fill="CCEEFF" w:val="clear"/>
            <w:vAlign w:val="center"/>
          </w:tcPr>
          <w:p>
            <w:pPr>
              <w:pStyle w:val="TableContents"/>
              <w:bidi w:val="0"/>
              <w:spacing w:before="0" w:after="283"/>
              <w:jc w:val="left"/>
              <w:rPr/>
            </w:pPr>
            <w:r>
              <w:rPr/>
              <w:t> </w:t>
            </w:r>
          </w:p>
        </w:tc>
        <w:tc>
          <w:tcPr>
            <w:tcW w:w="22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38" w:type="dxa"/>
            <w:tcBorders>
              <w:bottom w:val="double" w:sz="10" w:space="0" w:color="000000"/>
            </w:tcBorders>
            <w:shd w:fill="CCEEFF" w:val="clear"/>
            <w:tcMar>
              <w:bottom w:w="28" w:type="dxa"/>
            </w:tcMar>
            <w:vAlign w:val="center"/>
          </w:tcPr>
          <w:p>
            <w:pPr>
              <w:pStyle w:val="TableContents"/>
              <w:bidi w:val="0"/>
              <w:spacing w:before="0" w:after="283"/>
              <w:jc w:val="right"/>
              <w:rPr/>
            </w:pPr>
            <w:r>
              <w:rPr/>
              <w:t>(26,874</w:t>
            </w:r>
          </w:p>
        </w:tc>
        <w:tc>
          <w:tcPr>
            <w:tcW w:w="17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research and development expenses consist of personnel-related expenses as well as other external research and development expenses that are not directly attributable to a specific program.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9" w:name="a_018"/>
      <w:bookmarkEnd w:id="9"/>
      <w:r>
        <w:rPr>
          <w:rFonts w:ascii="Times New Roman;Times;Serif" w:hAnsi="Times New Roman;Times;Serif"/>
          <w:b/>
          <w:i w:val="false"/>
          <w:caps w:val="false"/>
          <w:smallCaps w:val="false"/>
          <w:sz w:val="20"/>
        </w:rPr>
        <w:t>Item 2. Management’s Discussion and Analysis of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You should read the following discussion and analysis of our financial condition and results of operations together with the unaudited condensed consolidated financial statements and related notes appearing elsewhere in this Quarterly Report on Form 10-Q. Some of the information contained in this discussion and analysis or set forth elsewhere in this Quarterly Report on Form 10-Q, including information with respect to our plans and strategy for our business and related financing, includes forward-looking statements that involve risks and uncertainties. As a result of many factors, including those factors set forth in “Risk Factors” in Part I, Item 1A of our Annual Report on Form 10-K, our actual results could differ materially from the results described in, or implied by, the forward-looking statements contained in the following discussion and analysis.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New York City based clinical-stage biopharmaceutical company committed to advancing transformative therapies for the treatment of cancer and rare diseases. We were founded on the principle of applying modern scientific, regulatory or manufacturing advancements to established mechanisms in order to create new development opportunities. We prioritize creativity, integrity and tenacity to expedite our goal of bringing life-changing therapies to people with limited treatment options.</w:t>
      </w:r>
    </w:p>
    <w:p>
      <w:pPr>
        <w:pStyle w:val="TextBody"/>
        <w:bidi w:val="0"/>
        <w:spacing w:before="0" w:after="0"/>
        <w:ind w:left="13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portfolio includes two development programs utilizing TARA-002, an investigational cell therapy based on the broad immunopotentiator, OK-432, which was originally granted marketing approval by the Japanese Ministry of Health and Welfare as an immunopotentiating cancer therapeutic agent. This cell therapy is currently approved in Japan and Taiwan for lymphatic malformations, or LMs, and multiple oncologic indications. We have secured worldwide rights to the asset excluding Japan and Taiwan and are exploring its use in oncology and rare disease indications. TARA-002 was developed from the same master cell bank of genetically distinct group A Streptococcus pyogenes as OK-432 (marketed as Picibanil® in Japan by Chugai Pharmaceutical Co., Ltd., or Chugai Pharmaceutical). We are currently developing TARA-002 in non-muscle invasive bladder cancer, or NMIBC, and LMs. We are also pursuing Intravenous, or IV, Choline Chloride, an investigational phospholipid substrate replacement therapy, for patients receiving parenteral support, or PS, which includes both nutrition and fluids.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devoted substantial efforts to the development of our programs and do not have any approved products and, to date, have not generated any revenues from product sales. Neither TARA-002 nor IV Choline Chloride have been approved by the U.S. Food and Drug Administration, or FDA, or other comparable regulatory authorities for use for any indications. We do not expect to generate revenues in the near-term, and it is possible we may never generate revenues in the future. To finance our current strategic plans, including the conduct of ongoing and future clinical trials and further research and development costs, we will need to raise additional capital. See “Item 2. Management’s Discussion and Analysis of Financial Condition and Results of Operations—Liquidity and Capital Resources” for additional information about our liquidity and capital resource needs.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inception, we have incurred significant operating losses. As of June 30, 2026, we had an accumulated deficit of approximately $341.9 million. We expect to continue to incur significant expenses and increasing operating losses for at least the next few years as we continue our development of, and seek marketing approvals for, our product candidates, prepare for and begin the commercialization of any approved products, and add infrastructure and personnel to support our product development efforts and operations as a public company in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clinical-stage company, our expenses and results of operations are likely to fluctuate significantly from quarter-to-quarter and year-to-year. We believe that our period-to-period comparisons of our results of operations should not be relied upon as indicative of our future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we had approximately $161.9 million in unrestricted cash and cash equivalents and marketable debt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TARA-002 in NMIBC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lead oncology program is TARA-002 in NMIBC, which is cancer found in the tissue that lines the inner surface of the bladder that has not spread into the bladder muscle. Bladder cancer is the sixth most common cancer in the U.S., with NMIBC representing approximately 80% of bladder cancer diagnoses. Approximately 65,000 patients are diagnosed with NMIBC in the U.S. each year. Very few new therapeutics have been approved for NMIBC since the 1990s and the current standard of care for NMIBC includes intravesical Bacillus Calmette-Guérin, or BCG.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completion of our Phase 1a ADVANCED-1 and Phase 1b ADVANCED-1EXP trials in October 2024 and September 2024, respectively, to evaluate safety, preliminary efficacy and the dosing of TARA-002, at the 40KE (Klinische Einheit, or KE, is a German term indicating a specified weight of dried cells in vial) dose level, we initiated and are currently conducting our ADVANCED-2 clinical trial. ADVANCED-2 is a Phase 2 open-label clinical trial evaluating intravesical TARA-002 in patients with high-grade carcinoma in situ, or CIS. Cohort A of the Phase 2 trial has completed enrollment and enrolled 31 patients with CIS (± Ta/T1, with Ta defined as non-invasive papillary carcinoma and T1 defined as carcinoma invading the lamina propria) who are either BCG-Naïve or BCG-Exposed and who have not received intravesical BCG for at least 24 months prior to CIS diagnosis. Cohort B of the Phase 2 trial is expected to enroll 75 to 100 patients with BCG-Unresponsive CIS (± Ta/T1) and is designed to be registrational based on the FDA’s August 2024 Draft Guidance for Industry on BCG-Unresponsive Nonmuscle Invasive Bladder Cancer: Developing Drugs and Biological Products for Treatment. Trial subjects in ADVANCED-2 receive an induction course, with or without a reinduction, of six weekly intravesical instillations of TARA-002, followed by a maintenance course of three weekly instillations every three months.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2026, we presented updated interim data from our ongoing Phase 2 open-label ADVANCED-2 trial reporting results that continue to support TARA-002’s potential as a new therapy in the NMIBC treatment landscape and demonstrating meaningful and durable activity in BCG-Unresponsive and BCG-Naïve NMIBC patients.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dataset includes 43 BCG-Unresponsive patients and 31 BCG-Naïve patients who received at least one dose of TARA-002; 35 BCG-Unresponsive patients and 29 BCG-Naïve patients completed at least one response assessment and were evaluable for efficacy as of a January 28, 2026 data cutoff. Complete response, or CR, rates at the six months and 12 months landmark time points include all participants who were either evaluable at that time point or had experienced disease progression or treatment failure prior to the scheduled visit.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BCG-Unresponsive cohort, the CR rate at any time was 65.7% (23/35). The CR rate was 68.2% (15/22) at six months and 33.3% (5/15) at 12 months. Among responders, the Kaplan-Meier, or KM, estimated probability of maintaining a CR for six months was 71.1% (95% confidence interval, or CI: 46.7, 95.5), and 100% (5/5) maintained their CR from nine to 12 months. Re-induction therapy successfully converted 61.5% (8/13) non-responders to a CR at six months.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BCG-Naïve cohort, the CR rate at any time was 72.4% (21/29). The CR rate was 66.7% (18/27) at six months and 57.9% (11/19) at 12 months. Among responders, the KM estimated probability of maintaining a CR for six months was 73.1% (95% CI: 52.9, 93.4), and 100% (11/11) maintained their CR from nine to 12 months. Re-induction therapy successfully converted 66.7% (4/6) non-responders to a CR at six months.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majority of treatment-related adverse events, or TRAEs, were Grade 1 and transient with no Grade 3 or greater TRAEs and no related serious adverse events, or SAEs, as assessed by study investigators. No patients discontinued treatment due to TRAEs. The most commonly occurring TRAEs were dysuria (14%), bladder spasm (9%), fatigue (7%) and micturition urgency (5%).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2026, we announced that we have received confirmation on the six-month CR rate of the 25th BCG-Unresponsive patient in our ongoing Phase 2 open-label ADVANCED-2 trial of TARA-002 in patients with CIS (± Ta/T1) NMIBC. The average six-month CR rate in the 25 BCG-Unresponsive patients was 68.0%, which was consistent with the 68.2% CR rate at six months that was announced by us in February 2026, and was meaningfully above 41.9%.</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2026, we presented additional updated interim data from our ongoing Phase 2 open-label ADVANCED-2 trial demonstrating meaningful and durable activity in BCG-Naïve NMIBC patients. The dataset included a total of 31 patients of whom 29 were evaluable for efficacy, with 27 patients evaluable at six months and 20 patients evaluable at 12 months, as of an April 5, 2026 data cutoff. The CR rate at any time was 72.4% (21/29). The CR rate was 66.7% (18/27) at six months and 55.0% (11/20) at 12 months. Among responders, the KM estimated probability of maintaining a CR for six months was 73.1% (95% CI: 52.9, 93.4). 91.7% (11/12) maintained their CR from nine to 12 months and 66.7% (4/6) of re-induced patients converted to a CR at six months.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majority of TRAEs were Grade 1 and transient, with no Grade 3 or greater TRAEs reported, as assessed by study investigators. No patients discontinued treatment due to TRAEs. The most commonly reported TRAEs were dysuria, fatigue, and hematuria.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complete enrollment of the BCG-Unresponsive registrational cohort of the ADVANCED-2 trial in the fourth quarter of 2026. Enrollment is complete in the BCG-Naïve cohort of the ADVANCED-2 trial with 31 patients. Although we initiated our ADVANCED-3 trial in June 2026, we have made the strategic decision to redesign the ADVANCED-3 trial to be a multi-cohort, open-label, exploratory trial to evaluate the efficacy and safety of intravesical TARA-002 in high-grade, high-risk BCG-Naïve and BCG-Exposed CIS (± Ta/T1) patients and papillary (Ta/T1) patients across BCG exposures, in order to accelerate and expand the breadth of data available at or around the time of the potential launch of TARA-002 in BCG-Unresponsive CIS patients.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our existing clinical trials in NMIBC, we plan to continue to explore the anti-tumor activity related to the administration of TARA-002 via systemic administration. We continue to believe that combination therapy may play a meaningful role in the NMIBC treatment paradigm and intend to evaluate TARA-002 in combination with other therapies. Given what we have observed to date of TARA-002’s mechanism of action and safety profile, we believe it has strong potential as a combination agent, and we continue to evaluate potential combination therapy options for our clinical program. We also continue to conduct non-clinical studies on TARA-002 to better characterize the mechanism of action to help us understand how TARA-002 may perform in potential combinations with other agents used to treat NMIBC, and to help us define other cancer targets for TARA-002, both within urothelial cancer and other types of cancer affecting different parts of the body.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IV Choline Chloride for Patients on PS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pursuing IV Choline Chloride, an investigational phospholipid substrate replacement therapy, for patients receiving PS which includes both nutrition and fluids. Choline is a known important substrate for phospholipids that are critical for healthy liver function and also plays an important role in modulating gene expression, cell membrane signaling, brain development, neurotransmission, muscle function and bone health. PS patients are unable to synthesize choline from enteral nutrition sources, and there are currently no available PS formulations containing choline. Every year in the U.S. there are approximately 90,000 people who require PS at home and of those approximately 30,000 are on long-term PS. IV Choline Chloride has the potential to become the first FDA-approved IV choline formulation for PS patients.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IV formulation of choline is recommended for patients on parenteral nutrition, or PN, by the American Society for Parenteral and Enteral Nutrition, or ASPEN, in their Recommendations for Changes in Commercially Available Parenteral Multivitamin and Multi–Trace Element Products, as well as by the European Society for Clinical Nutrition and Metabolism, or ESPEN, in their Guideline on Home Parenteral Nutrition. IV Choline Chloride has been granted Orphan Drug Designation, or ODD, by the FDA for the prevention and/or treatment of choline deficiency in patients on long-term PN. The FDA has also granted IV Choline Chloride Fast Track Designation, or FTD, as a source of choline when oral or enteral nutrition is not possible, insufficient, or contraindicated. The U.S. Patent and Trademark Office, or USPTO, has issued us a U.S. patent claiming a choline composition and a U.S. patent claiming a method of treating choline deficiency with a choline composition, each with a term expiring in 2041.</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2024, we announced alignment with the FDA on a registrational path forward for IV Choline Chloride. Previously, we had been pursuing an indication in intestinal failure-associated liver disease, or IFALD, and following feedback from the FDA, are pursuing a broader indication as a source of choline when oral or enteral nutrition is not possible, insufficient, or contraindicated. Feedback from the FDA on our IV Choline Chloride program indicated that a single study with an endpoint of restoring choline levels in PS patients could serve as the basis for a regulatory submission for IV Choline Chloride.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2026, we initiated THRIVE-3, a registrational Phase 3 clinical trial. THRIVE-3 is a seamless Phase 2b/3 trial with a dose confirmation portion (n=24) followed by a double-blinded, randomized, placebo-controlled portion to assess the efficacy and safety of IV Choline Chloride over 24 weeks in adolescents and adults on long-term PS when oral or enteral nutrition is not possible, insufficient, or contraindicated (n=100). The primary endpoint of the clinical trial is a pharmacokinetic, or PK, endpoint measuring the change from baseline in plasma choline concentration. We also plan to include a number of secondary endpoints related to liver, bone and memory. We anticipate reporting interim results from the dose-confirmation portion of the trial in the fourth quarter of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TARA-002 in LMs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pursuing TARA-002 in macrocystic and mixed-cystic LMs, which are rare, non-malignant cysts of the lymphatic vascular system that primarily form in the head and neck region of children before the age of two. In addition to the clinical experience in Japan, we have secured the rights to a dataset from one of the largest ever conducted Phase 2 trials in LMs, in which OK-432 was administered via a compassionate use program led by the University of Iowa to over 500 pediatric and adult patients. In July 2020, the FDA granted Rare Pediatric Disease Designation, or RPDD, for TARA-002 for the treatment of LMs and in May 2022 the European Commission granted Orphan Medicinal Product Designation to TARA-002 for the treatment of LMs. In December 2025, the FDA granted both FDA Breakthrough Therapy Designation, or BTD, and FTD for TARA-002 for the treatment of macrocystic and mixed cystic LMs in pediatric patients. In April 2026, the FDA granted ODD to TARA-002 for the treatment of macrocystic LMs and mixed cystic LMs. We have an open investigational new drug application, or IND, for TARA-002 in LMs and the review of TARA-002 has been moved from the Office of Vaccines Research and Review to the Office of Therapeutic Products, or OTP, which has significant experience in pediatric rare disease and is the review division for TARA-002 in NMIBC.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2023, we initiated STARBORN-1, which is a Phase 2 single-arm, open-label, prospective clinical trial to evaluate the safety and efficacy of intracystic injection of TARA-002 for the treatment of macrocystic and mixed-cystic LMs (≥ 50% macrocystic disease) in participants six months to less than 18 years of age in the U.S. Including an age de-escalation safety lead-in, the clinical trial will enroll approximately 30 patients who will receive up to four injections of TARA-002 spaced approximately six weeks apart. The primary endpoint of the clinical trial is the proportion of participants with macrocystic LMs and mixed-cystic LMs who demonstrated clinical success, defined as having either a CR (90% to 100% reduction from baseline in total LM volume) or substantial response (60% to less than 90% reduction in total LM volume) as measured by axial imaging.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2025, we announced interim results from our ongoing Phase 2 STARBORN-1 trial evaluating TARA-002 in pediatric patients with macrocystic and mixed cystic LMs. As of the data cutoff date of November 12, 2025, 12 patients had received at least one dose of TARA-002. Of the eight patients who were evaluable at the eight-week post-treatment assessment, 100% achieved clinical success. 88% of patients achieved clinical success with just one or two doses of TARA-002. Among macrocystic patients, 83% (5/6) achieved a CR, and the only mixed cystic patient treated also achieved a CR. Two patients who reached the 32-week post-treatment assessment remain disease-free.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safety profile of TARA-002 in this trial has been favorable, with the majority of adverse events, or AEs, being mild to moderate in severity. No SAEs were reported. The most common AEs were swelling and fatigue, and only one patient discontinued treatment due to a Grade 2 AE of fatigue.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results underscore the potential of TARA-002 to address an unmet need for pediatric patients with LMs, for whom there are currently no approved therapies. Many patients currently rely on invasive surgical procedures or off-label use of chemotherapies and chemicals, which can be associated with high complication rates and challenging side effects, particularly in pediatric populations.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2026, we presented updated interim safety and durability data from STARBORN-1 at the International Society for the Study of Vascular Anomalies World Congress in Philadelphia, Pennsylvania. As of an April 10, 2026 data cutoff, TARA-002 demonstrated clinical success in 83% (10/12) of participants that completed treatment and in 100% (10/10) of evaluable patients. All seven participants that reached the 32-week post-treatment assessment remained disease free as of the data cutoff. The majority of AEs were mild to moderate, with no serious AEs reported. The most common AEs were swelling and fatigue, and most were transient and resolved within a few days.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provide an update on STARBORN-1 and complete enrollment of STARBORN-1 in the fourth quarter of 2026. Based on engagement with the FDA, we intend to submit a Biologics License Application, or BLA, for TARA-002 in LMs based on the results of the pivotal STARBORN-1 trial in the second half of 2027 and will continue to submit safety and efficacy data from the trial on an ongoing basis to support the FDA’s evaluation of the risks and benefits of TARA-002 in LMs.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Potential Opportunities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TARA-002 may also have the potential to be used to treat other maxillofacial cysts based on the historical literature from the TARA-002 predecessor, OK-432, as well as recent data from the STARBORN-1 trial in which the one pediatric patient with a ranula achieved a CR after a single 1KE injection of TARA-002. While completing STARBORN-1 in LMs is our priority, we believe there may be an opportunity in the future to explore the potential of TARA-002 to treat different types of maxillofacial cysts.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Overview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67" w:right="0" w:hanging="167"/>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consist primarily of costs incurred for the development of our current and potential future product candidates, which include personnel-related expenses, including salaries, benefits, travel and stock-based compensation expense, external expenses incurred under agreements with contract research organizations, or CROs, contract development and manufacturing organizations, or CDMOs, the cost of acquiring, developing and manufacturing clinical trial materials, clinical and non-clinical related costs and costs associated with regulatory operations and facilities, which includes depreciation and other expenses such as rent, maintenance and other supplies.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and Administrative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consist primarily of personnel-related costs, including salaries, benefits, travel expenses and stock-based compensation, for executive management and other administrative personnel. General and administrative expenses also include professional fees for legal, investor relations, consulting, auditing and accounting services, business and market development activities, as well as costs related to human resources, information technology and facilities. In addition, these expenses include costs associated with operating as a public company, such as expenses related to our Nasdaq Global Market, or Nasdaq, listing and the United States Securities and Exchange Commission, or SEC, compliance and director and officer liability insurance premiums.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67" w:right="0" w:hanging="167"/>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Income (Expense), net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(expense), net consists of interest and investment income (expense) and other income (expense). Interest and investment income (expense) consists of interest and dividend income on our cash and cash equivalents and marketable debt securities and amortization of premiums and/or accretion of discounts. Other income (expense) may also include non-operating items, such as refundable tax credits and other miscellaneous income not related to our core operating activities.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 and Significant Judgments and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management’s discussion and analysis of our financial condition and results of operations is based on our condensed consolidated financial statements, which have been prepared in accordance with accounting principles generally accepted in the United States of America, or GAAP. The preparation of our condensed consolidated financial statements in conformity with GAAP requires us to make estimates and assumptions that affect the amounts reported in the condensed consolidated financial statements and accompanying notes. We base our estimates on historical experience and other market-specific or other relevant assumptions that we believe to be reasonable under the circumstances. Actual results may differ materially from those estimates or assumptions.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critical accounting policy is the accounting for accrued research and development expenses. We record accruals for estimated costs of research, preclinical, non-clinical, clinical and manufacturing development within accrued expenses which are significant components of research and development expenses. A substantial portion of our ongoing research and development activities are conducted by third-party service providers. We accrue costs incurred under these third-party arrangements based on estimates of actual work completed in accordance with the respective agreements. We determine the estimated costs to accrue through discussions with internal personnel and our external service providers as to the percentage of completion of the services and the agreed-upon fees to be paid for such services. Payments made to third parties under these arrangements in advance of performance of the related services are recorded as prepaid expenses until the services are rendered.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important that the discussion of our operating results that follow be read in conjunction with our accounting policies which have been disclosed in our Annual Report on Form 10-K filed with the SEC on March 10,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the Three Months Ended June 30,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results of operations (in thousands):</w:t>
      </w:r>
    </w:p>
    <w:p>
      <w:pPr>
        <w:pStyle w:val="TextBody"/>
        <w:bidi w:val="0"/>
        <w:spacing w:before="0" w:after="0"/>
        <w:ind w:left="0" w:right="0" w:firstLine="360"/>
        <w:jc w:val="both"/>
        <w:rPr>
          <w:caps w:val="false"/>
          <w:smallCaps w:val="false"/>
        </w:rPr>
      </w:pPr>
      <w:r>
        <w:rPr>
          <w:caps w:val="false"/>
          <w:smallCaps w:val="false"/>
        </w:rPr>
        <w:t> </w:t>
      </w:r>
    </w:p>
    <w:tbl>
      <w:tblPr>
        <w:tblW w:w="8558" w:type="dxa"/>
        <w:jc w:val="left"/>
        <w:tblInd w:w="0" w:type="dxa"/>
        <w:tblLayout w:type="fixed"/>
        <w:tblCellMar>
          <w:top w:w="0" w:type="dxa"/>
          <w:left w:w="0" w:type="dxa"/>
          <w:bottom w:w="0" w:type="dxa"/>
          <w:right w:w="0" w:type="dxa"/>
        </w:tblCellMar>
      </w:tblPr>
      <w:tblGrid>
        <w:gridCol w:w="3965"/>
        <w:gridCol w:w="90"/>
        <w:gridCol w:w="244"/>
        <w:gridCol w:w="1126"/>
        <w:gridCol w:w="179"/>
        <w:gridCol w:w="129"/>
        <w:gridCol w:w="244"/>
        <w:gridCol w:w="1126"/>
        <w:gridCol w:w="125"/>
        <w:gridCol w:w="90"/>
        <w:gridCol w:w="217"/>
        <w:gridCol w:w="853"/>
        <w:gridCol w:w="170"/>
      </w:tblGrid>
      <w:tr>
        <w:trPr/>
        <w:tc>
          <w:tcPr>
            <w:tcW w:w="396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304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Three Months Ended</w:t>
              <w:br/>
              <w:t>June 30,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283"/>
              <w:jc w:val="center"/>
              <w:rPr>
                <w:b/>
              </w:rPr>
            </w:pPr>
            <w:r>
              <w:rPr>
                <w:b/>
              </w:rPr>
              <w:t>Period-to-</w:t>
              <w:br/>
              <w:t>Period</w:t>
            </w:r>
          </w:p>
        </w:tc>
        <w:tc>
          <w:tcPr>
            <w:tcW w:w="170" w:type="dxa"/>
            <w:tcBorders/>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79"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170" w:type="dxa"/>
            <w:tcBorders/>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left"/>
              <w:rPr/>
            </w:pPr>
            <w:r>
              <w:rPr/>
              <w:t>Operating expenses:</w:t>
            </w:r>
          </w:p>
        </w:tc>
        <w:tc>
          <w:tcPr>
            <w:tcW w:w="9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right"/>
              <w:rPr/>
            </w:pPr>
            <w:r>
              <w:rPr/>
              <w:t> </w:t>
            </w:r>
          </w:p>
        </w:tc>
        <w:tc>
          <w:tcPr>
            <w:tcW w:w="179"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283"/>
              <w:jc w:val="left"/>
              <w:rPr/>
            </w:pPr>
            <w:r>
              <w:rPr/>
              <w:t>Research and development</w:t>
            </w:r>
          </w:p>
        </w:tc>
        <w:tc>
          <w:tcPr>
            <w:tcW w:w="9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w:t>
            </w:r>
          </w:p>
        </w:tc>
        <w:tc>
          <w:tcPr>
            <w:tcW w:w="1126" w:type="dxa"/>
            <w:tcBorders/>
            <w:shd w:fill="CCEEFF" w:val="clear"/>
            <w:vAlign w:val="center"/>
          </w:tcPr>
          <w:p>
            <w:pPr>
              <w:pStyle w:val="TableContents"/>
              <w:bidi w:val="0"/>
              <w:spacing w:before="0" w:after="283"/>
              <w:jc w:val="right"/>
              <w:rPr/>
            </w:pPr>
            <w:r>
              <w:rPr/>
              <w:t>16,955</w:t>
            </w:r>
          </w:p>
        </w:tc>
        <w:tc>
          <w:tcPr>
            <w:tcW w:w="179"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w:t>
            </w:r>
          </w:p>
        </w:tc>
        <w:tc>
          <w:tcPr>
            <w:tcW w:w="1126" w:type="dxa"/>
            <w:tcBorders/>
            <w:shd w:fill="CCEEFF" w:val="clear"/>
            <w:vAlign w:val="center"/>
          </w:tcPr>
          <w:p>
            <w:pPr>
              <w:pStyle w:val="TableContents"/>
              <w:bidi w:val="0"/>
              <w:spacing w:before="0" w:after="283"/>
              <w:jc w:val="right"/>
              <w:rPr/>
            </w:pPr>
            <w:r>
              <w:rPr/>
              <w:t>10,770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w:t>
            </w:r>
          </w:p>
        </w:tc>
        <w:tc>
          <w:tcPr>
            <w:tcW w:w="853" w:type="dxa"/>
            <w:tcBorders/>
            <w:shd w:fill="CCEEFF" w:val="clear"/>
            <w:vAlign w:val="center"/>
          </w:tcPr>
          <w:p>
            <w:pPr>
              <w:pStyle w:val="TableContents"/>
              <w:bidi w:val="0"/>
              <w:spacing w:before="0" w:after="283"/>
              <w:jc w:val="right"/>
              <w:rPr/>
            </w:pPr>
            <w:r>
              <w:rPr/>
              <w:t>6,185</w:t>
            </w:r>
          </w:p>
        </w:tc>
        <w:tc>
          <w:tcPr>
            <w:tcW w:w="170" w:type="dxa"/>
            <w:tcBorders/>
            <w:shd w:fill="CCEEFF" w:val="clear"/>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left"/>
              <w:rPr/>
            </w:pPr>
            <w:r>
              <w:rPr/>
              <w:t>General and administrative</w:t>
            </w:r>
          </w:p>
        </w:tc>
        <w:tc>
          <w:tcPr>
            <w:tcW w:w="90" w:type="dxa"/>
            <w:tcBorders/>
            <w:vAlign w:val="center"/>
          </w:tcPr>
          <w:p>
            <w:pPr>
              <w:pStyle w:val="TableContents"/>
              <w:bidi w:val="0"/>
              <w:spacing w:before="0" w:after="283"/>
              <w:jc w:val="left"/>
              <w:rPr/>
            </w:pPr>
            <w:r>
              <w:rPr/>
              <w:t> </w:t>
            </w:r>
          </w:p>
        </w:tc>
        <w:tc>
          <w:tcPr>
            <w:tcW w:w="244" w:type="dxa"/>
            <w:tcBorders>
              <w:bottom w:val="single" w:sz="12" w:space="0" w:color="000000"/>
            </w:tcBorders>
            <w:tcMar>
              <w:bottom w:w="28" w:type="dxa"/>
            </w:tcMar>
            <w:vAlign w:val="center"/>
          </w:tcPr>
          <w:p>
            <w:pPr>
              <w:pStyle w:val="TableContents"/>
              <w:bidi w:val="0"/>
              <w:spacing w:before="0" w:after="283"/>
              <w:jc w:val="left"/>
              <w:rPr/>
            </w:pPr>
            <w:r>
              <w:rPr/>
              <w:t> </w:t>
            </w:r>
          </w:p>
        </w:tc>
        <w:tc>
          <w:tcPr>
            <w:tcW w:w="1126" w:type="dxa"/>
            <w:tcBorders>
              <w:bottom w:val="single" w:sz="12" w:space="0" w:color="000000"/>
            </w:tcBorders>
            <w:tcMar>
              <w:bottom w:w="28" w:type="dxa"/>
            </w:tcMar>
            <w:vAlign w:val="center"/>
          </w:tcPr>
          <w:p>
            <w:pPr>
              <w:pStyle w:val="TableContents"/>
              <w:bidi w:val="0"/>
              <w:spacing w:before="0" w:after="283"/>
              <w:jc w:val="right"/>
              <w:rPr/>
            </w:pPr>
            <w:r>
              <w:rPr/>
              <w:t>6,369</w:t>
            </w:r>
          </w:p>
        </w:tc>
        <w:tc>
          <w:tcPr>
            <w:tcW w:w="179"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244" w:type="dxa"/>
            <w:tcBorders>
              <w:bottom w:val="single" w:sz="12" w:space="0" w:color="000000"/>
            </w:tcBorders>
            <w:tcMar>
              <w:bottom w:w="28" w:type="dxa"/>
            </w:tcMar>
            <w:vAlign w:val="center"/>
          </w:tcPr>
          <w:p>
            <w:pPr>
              <w:pStyle w:val="TableContents"/>
              <w:bidi w:val="0"/>
              <w:spacing w:before="0" w:after="283"/>
              <w:jc w:val="left"/>
              <w:rPr/>
            </w:pPr>
            <w:r>
              <w:rPr/>
              <w:t> </w:t>
            </w:r>
          </w:p>
        </w:tc>
        <w:tc>
          <w:tcPr>
            <w:tcW w:w="1126" w:type="dxa"/>
            <w:tcBorders>
              <w:bottom w:val="single" w:sz="12" w:space="0" w:color="000000"/>
            </w:tcBorders>
            <w:tcMar>
              <w:bottom w:w="28" w:type="dxa"/>
            </w:tcMar>
            <w:vAlign w:val="center"/>
          </w:tcPr>
          <w:p>
            <w:pPr>
              <w:pStyle w:val="TableContents"/>
              <w:bidi w:val="0"/>
              <w:spacing w:before="0" w:after="283"/>
              <w:jc w:val="right"/>
              <w:rPr/>
            </w:pPr>
            <w:r>
              <w:rPr/>
              <w:t>5,816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7" w:type="dxa"/>
            <w:tcBorders>
              <w:bottom w:val="single" w:sz="12" w:space="0" w:color="000000"/>
            </w:tcBorders>
            <w:tcMar>
              <w:bottom w:w="28" w:type="dxa"/>
            </w:tcMar>
            <w:vAlign w:val="center"/>
          </w:tcPr>
          <w:p>
            <w:pPr>
              <w:pStyle w:val="TableContents"/>
              <w:bidi w:val="0"/>
              <w:spacing w:before="0" w:after="283"/>
              <w:jc w:val="left"/>
              <w:rPr/>
            </w:pPr>
            <w:r>
              <w:rPr/>
              <w:t> </w:t>
            </w:r>
          </w:p>
        </w:tc>
        <w:tc>
          <w:tcPr>
            <w:tcW w:w="853" w:type="dxa"/>
            <w:tcBorders>
              <w:bottom w:val="single" w:sz="12" w:space="0" w:color="000000"/>
            </w:tcBorders>
            <w:tcMar>
              <w:bottom w:w="28" w:type="dxa"/>
            </w:tcMar>
            <w:vAlign w:val="center"/>
          </w:tcPr>
          <w:p>
            <w:pPr>
              <w:pStyle w:val="TableContents"/>
              <w:bidi w:val="0"/>
              <w:spacing w:before="0" w:after="283"/>
              <w:jc w:val="right"/>
              <w:rPr/>
            </w:pPr>
            <w:r>
              <w:rPr/>
              <w:t>553</w:t>
            </w:r>
          </w:p>
        </w:tc>
        <w:tc>
          <w:tcPr>
            <w:tcW w:w="170" w:type="dxa"/>
            <w:tcBorders/>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283"/>
              <w:jc w:val="left"/>
              <w:rPr/>
            </w:pPr>
            <w:r>
              <w:rPr/>
              <w:t>Total operating expenses</w:t>
            </w:r>
          </w:p>
        </w:tc>
        <w:tc>
          <w:tcPr>
            <w:tcW w:w="90" w:type="dxa"/>
            <w:tcBorders/>
            <w:shd w:fill="CCEEFF" w:val="clear"/>
            <w:vAlign w:val="center"/>
          </w:tcPr>
          <w:p>
            <w:pPr>
              <w:pStyle w:val="TableContents"/>
              <w:bidi w:val="0"/>
              <w:spacing w:before="0" w:after="283"/>
              <w:jc w:val="left"/>
              <w:rPr/>
            </w:pPr>
            <w:r>
              <w:rPr/>
              <w:t> </w:t>
            </w:r>
          </w:p>
        </w:tc>
        <w:tc>
          <w:tcPr>
            <w:tcW w:w="2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6" w:type="dxa"/>
            <w:tcBorders>
              <w:bottom w:val="single" w:sz="12" w:space="0" w:color="000000"/>
            </w:tcBorders>
            <w:shd w:fill="CCEEFF" w:val="clear"/>
            <w:tcMar>
              <w:bottom w:w="28" w:type="dxa"/>
            </w:tcMar>
            <w:vAlign w:val="center"/>
          </w:tcPr>
          <w:p>
            <w:pPr>
              <w:pStyle w:val="TableContents"/>
              <w:bidi w:val="0"/>
              <w:spacing w:before="0" w:after="283"/>
              <w:jc w:val="right"/>
              <w:rPr/>
            </w:pPr>
            <w:r>
              <w:rPr/>
              <w:t>23,324</w:t>
            </w:r>
          </w:p>
        </w:tc>
        <w:tc>
          <w:tcPr>
            <w:tcW w:w="179"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2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6" w:type="dxa"/>
            <w:tcBorders>
              <w:bottom w:val="single" w:sz="12" w:space="0" w:color="000000"/>
            </w:tcBorders>
            <w:shd w:fill="CCEEFF" w:val="clear"/>
            <w:tcMar>
              <w:bottom w:w="28" w:type="dxa"/>
            </w:tcMar>
            <w:vAlign w:val="center"/>
          </w:tcPr>
          <w:p>
            <w:pPr>
              <w:pStyle w:val="TableContents"/>
              <w:bidi w:val="0"/>
              <w:spacing w:before="0" w:after="283"/>
              <w:jc w:val="right"/>
              <w:rPr/>
            </w:pPr>
            <w:r>
              <w:rPr/>
              <w:t>16,586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3" w:type="dxa"/>
            <w:tcBorders>
              <w:bottom w:val="single" w:sz="12" w:space="0" w:color="000000"/>
            </w:tcBorders>
            <w:shd w:fill="CCEEFF" w:val="clear"/>
            <w:tcMar>
              <w:bottom w:w="28" w:type="dxa"/>
            </w:tcMar>
            <w:vAlign w:val="center"/>
          </w:tcPr>
          <w:p>
            <w:pPr>
              <w:pStyle w:val="TableContents"/>
              <w:bidi w:val="0"/>
              <w:spacing w:before="0" w:after="283"/>
              <w:jc w:val="right"/>
              <w:rPr/>
            </w:pPr>
            <w:r>
              <w:rPr/>
              <w:t>6,738</w:t>
            </w:r>
          </w:p>
        </w:tc>
        <w:tc>
          <w:tcPr>
            <w:tcW w:w="170" w:type="dxa"/>
            <w:tcBorders/>
            <w:shd w:fill="CCEEFF" w:val="clear"/>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left"/>
              <w:rPr/>
            </w:pPr>
            <w:r>
              <w:rPr/>
              <w:t>Income (Loss) from operations</w:t>
            </w:r>
          </w:p>
        </w:tc>
        <w:tc>
          <w:tcPr>
            <w:tcW w:w="90"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 </w:t>
            </w:r>
          </w:p>
        </w:tc>
        <w:tc>
          <w:tcPr>
            <w:tcW w:w="1126" w:type="dxa"/>
            <w:tcBorders/>
            <w:vAlign w:val="center"/>
          </w:tcPr>
          <w:p>
            <w:pPr>
              <w:pStyle w:val="TableContents"/>
              <w:bidi w:val="0"/>
              <w:spacing w:before="0" w:after="283"/>
              <w:jc w:val="right"/>
              <w:rPr/>
            </w:pPr>
            <w:r>
              <w:rPr/>
              <w:t>(23,324</w:t>
            </w:r>
          </w:p>
        </w:tc>
        <w:tc>
          <w:tcPr>
            <w:tcW w:w="179" w:type="dxa"/>
            <w:tcBorders/>
            <w:vAlign w:val="center"/>
          </w:tcPr>
          <w:p>
            <w:pPr>
              <w:pStyle w:val="TableContents"/>
              <w:bidi w:val="0"/>
              <w:spacing w:before="0" w:after="283"/>
              <w:jc w:val="left"/>
              <w:rPr/>
            </w:pPr>
            <w:r>
              <w:rPr/>
              <w:t>)</w:t>
            </w:r>
          </w:p>
        </w:tc>
        <w:tc>
          <w:tcPr>
            <w:tcW w:w="129"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 </w:t>
            </w:r>
          </w:p>
        </w:tc>
        <w:tc>
          <w:tcPr>
            <w:tcW w:w="1126" w:type="dxa"/>
            <w:tcBorders/>
            <w:vAlign w:val="center"/>
          </w:tcPr>
          <w:p>
            <w:pPr>
              <w:pStyle w:val="TableContents"/>
              <w:bidi w:val="0"/>
              <w:spacing w:before="0" w:after="283"/>
              <w:jc w:val="right"/>
              <w:rPr/>
            </w:pPr>
            <w:r>
              <w:rPr/>
              <w:t>(16,586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853" w:type="dxa"/>
            <w:tcBorders/>
            <w:vAlign w:val="center"/>
          </w:tcPr>
          <w:p>
            <w:pPr>
              <w:pStyle w:val="TableContents"/>
              <w:bidi w:val="0"/>
              <w:spacing w:before="0" w:after="283"/>
              <w:jc w:val="right"/>
              <w:rPr/>
            </w:pPr>
            <w:r>
              <w:rPr/>
              <w:t>(6,738</w:t>
            </w:r>
          </w:p>
        </w:tc>
        <w:tc>
          <w:tcPr>
            <w:tcW w:w="170" w:type="dxa"/>
            <w:tcBorders/>
            <w:vAlign w:val="center"/>
          </w:tcPr>
          <w:p>
            <w:pPr>
              <w:pStyle w:val="TableContents"/>
              <w:bidi w:val="0"/>
              <w:spacing w:before="0" w:after="283"/>
              <w:jc w:val="left"/>
              <w:rPr/>
            </w:pPr>
            <w:r>
              <w:rPr/>
              <w:t>)</w:t>
            </w:r>
          </w:p>
        </w:tc>
      </w:tr>
      <w:tr>
        <w:trPr/>
        <w:tc>
          <w:tcPr>
            <w:tcW w:w="3965" w:type="dxa"/>
            <w:tcBorders/>
            <w:shd w:fill="CCEEFF" w:val="clear"/>
            <w:vAlign w:val="center"/>
          </w:tcPr>
          <w:p>
            <w:pPr>
              <w:pStyle w:val="TableContents"/>
              <w:bidi w:val="0"/>
              <w:spacing w:before="0" w:after="283"/>
              <w:jc w:val="left"/>
              <w:rPr/>
            </w:pPr>
            <w:r>
              <w:rPr/>
              <w:t>Other income (expense), net:</w:t>
            </w:r>
          </w:p>
        </w:tc>
        <w:tc>
          <w:tcPr>
            <w:tcW w:w="9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126" w:type="dxa"/>
            <w:tcBorders/>
            <w:shd w:fill="CCEEFF" w:val="clear"/>
            <w:vAlign w:val="center"/>
          </w:tcPr>
          <w:p>
            <w:pPr>
              <w:pStyle w:val="TableContents"/>
              <w:bidi w:val="0"/>
              <w:spacing w:before="0" w:after="283"/>
              <w:jc w:val="right"/>
              <w:rPr/>
            </w:pPr>
            <w:r>
              <w:rPr/>
              <w:t> </w:t>
            </w:r>
          </w:p>
        </w:tc>
        <w:tc>
          <w:tcPr>
            <w:tcW w:w="179"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126"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853"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left"/>
              <w:rPr/>
            </w:pPr>
            <w:r>
              <w:rPr/>
              <w:t>Interest and investment income (expense)</w:t>
            </w:r>
          </w:p>
        </w:tc>
        <w:tc>
          <w:tcPr>
            <w:tcW w:w="90" w:type="dxa"/>
            <w:tcBorders/>
            <w:vAlign w:val="center"/>
          </w:tcPr>
          <w:p>
            <w:pPr>
              <w:pStyle w:val="TableContents"/>
              <w:bidi w:val="0"/>
              <w:spacing w:before="0" w:after="283"/>
              <w:jc w:val="left"/>
              <w:rPr/>
            </w:pPr>
            <w:r>
              <w:rPr/>
              <w:t> </w:t>
            </w:r>
          </w:p>
        </w:tc>
        <w:tc>
          <w:tcPr>
            <w:tcW w:w="244" w:type="dxa"/>
            <w:tcBorders>
              <w:bottom w:val="single" w:sz="12" w:space="0" w:color="000000"/>
            </w:tcBorders>
            <w:tcMar>
              <w:bottom w:w="28" w:type="dxa"/>
            </w:tcMar>
            <w:vAlign w:val="center"/>
          </w:tcPr>
          <w:p>
            <w:pPr>
              <w:pStyle w:val="TableContents"/>
              <w:bidi w:val="0"/>
              <w:spacing w:before="0" w:after="283"/>
              <w:jc w:val="left"/>
              <w:rPr/>
            </w:pPr>
            <w:r>
              <w:rPr/>
              <w:t> </w:t>
            </w:r>
          </w:p>
        </w:tc>
        <w:tc>
          <w:tcPr>
            <w:tcW w:w="1126" w:type="dxa"/>
            <w:tcBorders>
              <w:bottom w:val="single" w:sz="12" w:space="0" w:color="000000"/>
            </w:tcBorders>
            <w:tcMar>
              <w:bottom w:w="28" w:type="dxa"/>
            </w:tcMar>
            <w:vAlign w:val="center"/>
          </w:tcPr>
          <w:p>
            <w:pPr>
              <w:pStyle w:val="TableContents"/>
              <w:bidi w:val="0"/>
              <w:spacing w:before="0" w:after="283"/>
              <w:jc w:val="right"/>
              <w:rPr/>
            </w:pPr>
            <w:r>
              <w:rPr/>
              <w:t>1,656</w:t>
            </w:r>
          </w:p>
        </w:tc>
        <w:tc>
          <w:tcPr>
            <w:tcW w:w="179"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244" w:type="dxa"/>
            <w:tcBorders>
              <w:bottom w:val="single" w:sz="12" w:space="0" w:color="000000"/>
            </w:tcBorders>
            <w:tcMar>
              <w:bottom w:w="28" w:type="dxa"/>
            </w:tcMar>
            <w:vAlign w:val="center"/>
          </w:tcPr>
          <w:p>
            <w:pPr>
              <w:pStyle w:val="TableContents"/>
              <w:bidi w:val="0"/>
              <w:spacing w:before="0" w:after="283"/>
              <w:jc w:val="left"/>
              <w:rPr/>
            </w:pPr>
            <w:r>
              <w:rPr/>
              <w:t> </w:t>
            </w:r>
          </w:p>
        </w:tc>
        <w:tc>
          <w:tcPr>
            <w:tcW w:w="1126" w:type="dxa"/>
            <w:tcBorders>
              <w:bottom w:val="single" w:sz="12" w:space="0" w:color="000000"/>
            </w:tcBorders>
            <w:tcMar>
              <w:bottom w:w="28" w:type="dxa"/>
            </w:tcMar>
            <w:vAlign w:val="center"/>
          </w:tcPr>
          <w:p>
            <w:pPr>
              <w:pStyle w:val="TableContents"/>
              <w:bidi w:val="0"/>
              <w:spacing w:before="0" w:after="283"/>
              <w:jc w:val="right"/>
              <w:rPr/>
            </w:pPr>
            <w:r>
              <w:rPr/>
              <w:t>1,626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7" w:type="dxa"/>
            <w:tcBorders>
              <w:bottom w:val="single" w:sz="12" w:space="0" w:color="000000"/>
            </w:tcBorders>
            <w:tcMar>
              <w:bottom w:w="28" w:type="dxa"/>
            </w:tcMar>
            <w:vAlign w:val="center"/>
          </w:tcPr>
          <w:p>
            <w:pPr>
              <w:pStyle w:val="TableContents"/>
              <w:bidi w:val="0"/>
              <w:spacing w:before="0" w:after="283"/>
              <w:jc w:val="left"/>
              <w:rPr/>
            </w:pPr>
            <w:r>
              <w:rPr/>
              <w:t> </w:t>
            </w:r>
          </w:p>
        </w:tc>
        <w:tc>
          <w:tcPr>
            <w:tcW w:w="853" w:type="dxa"/>
            <w:tcBorders>
              <w:bottom w:val="single" w:sz="12" w:space="0" w:color="000000"/>
            </w:tcBorders>
            <w:tcMar>
              <w:bottom w:w="28" w:type="dxa"/>
            </w:tcMar>
            <w:vAlign w:val="center"/>
          </w:tcPr>
          <w:p>
            <w:pPr>
              <w:pStyle w:val="TableContents"/>
              <w:bidi w:val="0"/>
              <w:spacing w:before="0" w:after="283"/>
              <w:jc w:val="right"/>
              <w:rPr/>
            </w:pPr>
            <w:r>
              <w:rPr/>
              <w:t>30</w:t>
            </w:r>
          </w:p>
        </w:tc>
        <w:tc>
          <w:tcPr>
            <w:tcW w:w="170" w:type="dxa"/>
            <w:tcBorders/>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283"/>
              <w:jc w:val="left"/>
              <w:rPr/>
            </w:pPr>
            <w:r>
              <w:rPr/>
              <w:t>Other income (expense), net</w:t>
            </w:r>
          </w:p>
        </w:tc>
        <w:tc>
          <w:tcPr>
            <w:tcW w:w="90" w:type="dxa"/>
            <w:tcBorders/>
            <w:shd w:fill="CCEEFF" w:val="clear"/>
            <w:vAlign w:val="center"/>
          </w:tcPr>
          <w:p>
            <w:pPr>
              <w:pStyle w:val="TableContents"/>
              <w:bidi w:val="0"/>
              <w:spacing w:before="0" w:after="283"/>
              <w:jc w:val="left"/>
              <w:rPr/>
            </w:pPr>
            <w:r>
              <w:rPr/>
              <w:t> </w:t>
            </w:r>
          </w:p>
        </w:tc>
        <w:tc>
          <w:tcPr>
            <w:tcW w:w="2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6" w:type="dxa"/>
            <w:tcBorders>
              <w:bottom w:val="single" w:sz="12" w:space="0" w:color="000000"/>
            </w:tcBorders>
            <w:shd w:fill="CCEEFF" w:val="clear"/>
            <w:tcMar>
              <w:bottom w:w="28" w:type="dxa"/>
            </w:tcMar>
            <w:vAlign w:val="center"/>
          </w:tcPr>
          <w:p>
            <w:pPr>
              <w:pStyle w:val="TableContents"/>
              <w:bidi w:val="0"/>
              <w:spacing w:before="0" w:after="283"/>
              <w:jc w:val="right"/>
              <w:rPr/>
            </w:pPr>
            <w:r>
              <w:rPr/>
              <w:t>1,656</w:t>
            </w:r>
          </w:p>
        </w:tc>
        <w:tc>
          <w:tcPr>
            <w:tcW w:w="179"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2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6" w:type="dxa"/>
            <w:tcBorders>
              <w:bottom w:val="single" w:sz="12" w:space="0" w:color="000000"/>
            </w:tcBorders>
            <w:shd w:fill="CCEEFF" w:val="clear"/>
            <w:tcMar>
              <w:bottom w:w="28" w:type="dxa"/>
            </w:tcMar>
            <w:vAlign w:val="center"/>
          </w:tcPr>
          <w:p>
            <w:pPr>
              <w:pStyle w:val="TableContents"/>
              <w:bidi w:val="0"/>
              <w:spacing w:before="0" w:after="283"/>
              <w:jc w:val="right"/>
              <w:rPr/>
            </w:pPr>
            <w:r>
              <w:rPr/>
              <w:t>1,626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3" w:type="dxa"/>
            <w:tcBorders>
              <w:bottom w:val="single" w:sz="12" w:space="0" w:color="000000"/>
            </w:tcBorders>
            <w:shd w:fill="CCEEFF" w:val="clear"/>
            <w:tcMar>
              <w:bottom w:w="28" w:type="dxa"/>
            </w:tcMar>
            <w:vAlign w:val="center"/>
          </w:tcPr>
          <w:p>
            <w:pPr>
              <w:pStyle w:val="TableContents"/>
              <w:bidi w:val="0"/>
              <w:spacing w:before="0" w:after="283"/>
              <w:jc w:val="right"/>
              <w:rPr/>
            </w:pPr>
            <w:r>
              <w:rPr/>
              <w:t>30</w:t>
            </w:r>
          </w:p>
        </w:tc>
        <w:tc>
          <w:tcPr>
            <w:tcW w:w="170" w:type="dxa"/>
            <w:tcBorders/>
            <w:shd w:fill="CCEEFF" w:val="clear"/>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left"/>
              <w:rPr/>
            </w:pPr>
            <w:r>
              <w:rPr/>
              <w:t>Net income (loss)</w:t>
            </w:r>
          </w:p>
        </w:tc>
        <w:tc>
          <w:tcPr>
            <w:tcW w:w="90" w:type="dxa"/>
            <w:tcBorders/>
            <w:vAlign w:val="center"/>
          </w:tcPr>
          <w:p>
            <w:pPr>
              <w:pStyle w:val="TableContents"/>
              <w:bidi w:val="0"/>
              <w:spacing w:before="0" w:after="283"/>
              <w:jc w:val="left"/>
              <w:rPr/>
            </w:pPr>
            <w:r>
              <w:rPr/>
              <w:t> </w:t>
            </w:r>
          </w:p>
        </w:tc>
        <w:tc>
          <w:tcPr>
            <w:tcW w:w="244" w:type="dxa"/>
            <w:tcBorders>
              <w:bottom w:val="double" w:sz="10" w:space="0" w:color="000000"/>
            </w:tcBorders>
            <w:tcMar>
              <w:bottom w:w="28" w:type="dxa"/>
            </w:tcMar>
            <w:vAlign w:val="center"/>
          </w:tcPr>
          <w:p>
            <w:pPr>
              <w:pStyle w:val="TableContents"/>
              <w:bidi w:val="0"/>
              <w:spacing w:before="0" w:after="283"/>
              <w:jc w:val="left"/>
              <w:rPr/>
            </w:pPr>
            <w:r>
              <w:rPr/>
              <w:t>$</w:t>
            </w:r>
          </w:p>
        </w:tc>
        <w:tc>
          <w:tcPr>
            <w:tcW w:w="1126" w:type="dxa"/>
            <w:tcBorders>
              <w:bottom w:val="double" w:sz="10" w:space="0" w:color="000000"/>
            </w:tcBorders>
            <w:tcMar>
              <w:bottom w:w="28" w:type="dxa"/>
            </w:tcMar>
            <w:vAlign w:val="center"/>
          </w:tcPr>
          <w:p>
            <w:pPr>
              <w:pStyle w:val="TableContents"/>
              <w:bidi w:val="0"/>
              <w:spacing w:before="0" w:after="283"/>
              <w:jc w:val="right"/>
              <w:rPr/>
            </w:pPr>
            <w:r>
              <w:rPr/>
              <w:t>(21,668</w:t>
            </w:r>
          </w:p>
        </w:tc>
        <w:tc>
          <w:tcPr>
            <w:tcW w:w="179" w:type="dxa"/>
            <w:tcBorders/>
            <w:vAlign w:val="center"/>
          </w:tcPr>
          <w:p>
            <w:pPr>
              <w:pStyle w:val="TableContents"/>
              <w:bidi w:val="0"/>
              <w:spacing w:before="0" w:after="283"/>
              <w:jc w:val="left"/>
              <w:rPr/>
            </w:pPr>
            <w:r>
              <w:rPr/>
              <w:t>)</w:t>
            </w:r>
          </w:p>
        </w:tc>
        <w:tc>
          <w:tcPr>
            <w:tcW w:w="129" w:type="dxa"/>
            <w:tcBorders/>
            <w:vAlign w:val="center"/>
          </w:tcPr>
          <w:p>
            <w:pPr>
              <w:pStyle w:val="TableContents"/>
              <w:bidi w:val="0"/>
              <w:spacing w:before="0" w:after="283"/>
              <w:jc w:val="left"/>
              <w:rPr/>
            </w:pPr>
            <w:r>
              <w:rPr/>
              <w:t> </w:t>
            </w:r>
          </w:p>
        </w:tc>
        <w:tc>
          <w:tcPr>
            <w:tcW w:w="244" w:type="dxa"/>
            <w:tcBorders>
              <w:bottom w:val="double" w:sz="10" w:space="0" w:color="000000"/>
            </w:tcBorders>
            <w:tcMar>
              <w:bottom w:w="28" w:type="dxa"/>
            </w:tcMar>
            <w:vAlign w:val="center"/>
          </w:tcPr>
          <w:p>
            <w:pPr>
              <w:pStyle w:val="TableContents"/>
              <w:bidi w:val="0"/>
              <w:spacing w:before="0" w:after="283"/>
              <w:jc w:val="left"/>
              <w:rPr/>
            </w:pPr>
            <w:r>
              <w:rPr/>
              <w:t>$</w:t>
            </w:r>
          </w:p>
        </w:tc>
        <w:tc>
          <w:tcPr>
            <w:tcW w:w="1126" w:type="dxa"/>
            <w:tcBorders>
              <w:bottom w:val="double" w:sz="10" w:space="0" w:color="000000"/>
            </w:tcBorders>
            <w:tcMar>
              <w:bottom w:w="28" w:type="dxa"/>
            </w:tcMar>
            <w:vAlign w:val="center"/>
          </w:tcPr>
          <w:p>
            <w:pPr>
              <w:pStyle w:val="TableContents"/>
              <w:bidi w:val="0"/>
              <w:spacing w:before="0" w:after="283"/>
              <w:jc w:val="right"/>
              <w:rPr/>
            </w:pPr>
            <w:r>
              <w:rPr/>
              <w:t>(14,960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17" w:type="dxa"/>
            <w:tcBorders>
              <w:bottom w:val="double" w:sz="10" w:space="0" w:color="000000"/>
            </w:tcBorders>
            <w:tcMar>
              <w:bottom w:w="28" w:type="dxa"/>
            </w:tcMar>
            <w:vAlign w:val="center"/>
          </w:tcPr>
          <w:p>
            <w:pPr>
              <w:pStyle w:val="TableContents"/>
              <w:bidi w:val="0"/>
              <w:spacing w:before="0" w:after="283"/>
              <w:jc w:val="left"/>
              <w:rPr/>
            </w:pPr>
            <w:r>
              <w:rPr/>
              <w:t>$</w:t>
            </w:r>
          </w:p>
        </w:tc>
        <w:tc>
          <w:tcPr>
            <w:tcW w:w="853" w:type="dxa"/>
            <w:tcBorders>
              <w:bottom w:val="double" w:sz="10" w:space="0" w:color="000000"/>
            </w:tcBorders>
            <w:tcMar>
              <w:bottom w:w="28" w:type="dxa"/>
            </w:tcMar>
            <w:vAlign w:val="center"/>
          </w:tcPr>
          <w:p>
            <w:pPr>
              <w:pStyle w:val="TableContents"/>
              <w:bidi w:val="0"/>
              <w:spacing w:before="0" w:after="283"/>
              <w:jc w:val="right"/>
              <w:rPr/>
            </w:pPr>
            <w:r>
              <w:rPr/>
              <w:t>(6,708</w:t>
            </w:r>
          </w:p>
        </w:tc>
        <w:tc>
          <w:tcPr>
            <w:tcW w:w="170" w:type="dxa"/>
            <w:tcBorders/>
            <w:vAlign w:val="center"/>
          </w:tcPr>
          <w:p>
            <w:pPr>
              <w:pStyle w:val="TableContents"/>
              <w:bidi w:val="0"/>
              <w:spacing w:before="0" w:after="283"/>
              <w:jc w:val="left"/>
              <w:rPr/>
            </w:pPr>
            <w:r>
              <w:rPr/>
              <w: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Research and development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research and development expenses (in thousands):</w:t>
      </w:r>
    </w:p>
    <w:p>
      <w:pPr>
        <w:pStyle w:val="TextBody"/>
        <w:bidi w:val="0"/>
        <w:spacing w:before="0" w:after="0"/>
        <w:ind w:left="0" w:right="0" w:firstLine="360"/>
        <w:jc w:val="both"/>
        <w:rPr>
          <w:caps w:val="false"/>
          <w:smallCaps w:val="false"/>
        </w:rPr>
      </w:pPr>
      <w:r>
        <w:rPr>
          <w:caps w:val="false"/>
          <w:smallCaps w:val="false"/>
        </w:rPr>
        <w:t> </w:t>
      </w:r>
    </w:p>
    <w:tbl>
      <w:tblPr>
        <w:tblW w:w="8743" w:type="dxa"/>
        <w:jc w:val="left"/>
        <w:tblInd w:w="0" w:type="dxa"/>
        <w:tblLayout w:type="fixed"/>
        <w:tblCellMar>
          <w:top w:w="0" w:type="dxa"/>
          <w:left w:w="0" w:type="dxa"/>
          <w:bottom w:w="0" w:type="dxa"/>
          <w:right w:w="0" w:type="dxa"/>
        </w:tblCellMar>
      </w:tblPr>
      <w:tblGrid>
        <w:gridCol w:w="4220"/>
        <w:gridCol w:w="90"/>
        <w:gridCol w:w="267"/>
        <w:gridCol w:w="1116"/>
        <w:gridCol w:w="141"/>
        <w:gridCol w:w="141"/>
        <w:gridCol w:w="267"/>
        <w:gridCol w:w="1116"/>
        <w:gridCol w:w="90"/>
        <w:gridCol w:w="90"/>
        <w:gridCol w:w="239"/>
        <w:gridCol w:w="831"/>
        <w:gridCol w:w="135"/>
      </w:tblGrid>
      <w:tr>
        <w:trPr/>
        <w:tc>
          <w:tcPr>
            <w:tcW w:w="42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4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Three Months Ended</w:t>
              <w:br/>
              <w:t>June 30,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283"/>
              <w:jc w:val="center"/>
              <w:rPr>
                <w:b/>
              </w:rPr>
            </w:pPr>
            <w:r>
              <w:rPr>
                <w:b/>
              </w:rPr>
              <w:t>Period-to-</w:t>
              <w:br/>
              <w:t>Period</w:t>
            </w:r>
          </w:p>
        </w:tc>
        <w:tc>
          <w:tcPr>
            <w:tcW w:w="135" w:type="dxa"/>
            <w:tcBorders/>
            <w:vAlign w:val="center"/>
          </w:tcPr>
          <w:p>
            <w:pPr>
              <w:pStyle w:val="TableContents"/>
              <w:bidi w:val="0"/>
              <w:spacing w:before="0" w:after="283"/>
              <w:jc w:val="left"/>
              <w:rPr/>
            </w:pPr>
            <w:r>
              <w:rPr/>
              <w:t> </w:t>
            </w:r>
          </w:p>
        </w:tc>
      </w:tr>
      <w:tr>
        <w:trPr/>
        <w:tc>
          <w:tcPr>
            <w:tcW w:w="42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8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41"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38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135" w:type="dxa"/>
            <w:tcBorders/>
            <w:vAlign w:val="center"/>
          </w:tcPr>
          <w:p>
            <w:pPr>
              <w:pStyle w:val="TableContents"/>
              <w:bidi w:val="0"/>
              <w:spacing w:before="0" w:after="283"/>
              <w:jc w:val="left"/>
              <w:rPr/>
            </w:pPr>
            <w:r>
              <w:rPr/>
              <w:t> </w:t>
            </w:r>
          </w:p>
        </w:tc>
      </w:tr>
      <w:tr>
        <w:trPr/>
        <w:tc>
          <w:tcPr>
            <w:tcW w:w="4220" w:type="dxa"/>
            <w:tcBorders/>
            <w:vAlign w:val="center"/>
          </w:tcPr>
          <w:p>
            <w:pPr>
              <w:pStyle w:val="TableContents"/>
              <w:bidi w:val="0"/>
              <w:spacing w:before="0" w:after="283"/>
              <w:jc w:val="left"/>
              <w:rPr/>
            </w:pPr>
            <w:r>
              <w:rPr/>
              <w:t>Direct expenses by product candidate:</w:t>
            </w:r>
          </w:p>
        </w:tc>
        <w:tc>
          <w:tcPr>
            <w:tcW w:w="90" w:type="dxa"/>
            <w:tcBorders/>
            <w:vAlign w:val="center"/>
          </w:tcPr>
          <w:p>
            <w:pPr>
              <w:pStyle w:val="TableContents"/>
              <w:bidi w:val="0"/>
              <w:spacing w:before="0" w:after="283"/>
              <w:jc w:val="left"/>
              <w:rPr/>
            </w:pPr>
            <w:r>
              <w:rPr/>
              <w:t> </w:t>
            </w:r>
          </w:p>
        </w:tc>
        <w:tc>
          <w:tcPr>
            <w:tcW w:w="1383" w:type="dxa"/>
            <w:gridSpan w:val="2"/>
            <w:tcBorders/>
            <w:vAlign w:val="center"/>
          </w:tcPr>
          <w:p>
            <w:pPr>
              <w:pStyle w:val="TableContents"/>
              <w:bidi w:val="0"/>
              <w:spacing w:before="0" w:after="283"/>
              <w:jc w:val="right"/>
              <w:rPr/>
            </w:pPr>
            <w:r>
              <w:rPr/>
              <w:t> </w:t>
            </w:r>
          </w:p>
        </w:tc>
        <w:tc>
          <w:tcPr>
            <w:tcW w:w="141"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383"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283"/>
              <w:jc w:val="left"/>
              <w:rPr/>
            </w:pPr>
            <w:r>
              <w:rPr/>
              <w:t>TARA-002 in NMIBC</w:t>
            </w:r>
          </w:p>
        </w:tc>
        <w:tc>
          <w:tcPr>
            <w:tcW w:w="9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w:t>
            </w:r>
          </w:p>
        </w:tc>
        <w:tc>
          <w:tcPr>
            <w:tcW w:w="1116" w:type="dxa"/>
            <w:tcBorders/>
            <w:shd w:fill="CCEEFF" w:val="clear"/>
            <w:vAlign w:val="center"/>
          </w:tcPr>
          <w:p>
            <w:pPr>
              <w:pStyle w:val="TableContents"/>
              <w:bidi w:val="0"/>
              <w:spacing w:before="0" w:after="283"/>
              <w:jc w:val="right"/>
              <w:rPr/>
            </w:pPr>
            <w:r>
              <w:rPr/>
              <w:t>6,848</w:t>
            </w:r>
          </w:p>
        </w:tc>
        <w:tc>
          <w:tcPr>
            <w:tcW w:w="141"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w:t>
            </w:r>
          </w:p>
        </w:tc>
        <w:tc>
          <w:tcPr>
            <w:tcW w:w="1116" w:type="dxa"/>
            <w:tcBorders/>
            <w:shd w:fill="CCEEFF" w:val="clear"/>
            <w:vAlign w:val="center"/>
          </w:tcPr>
          <w:p>
            <w:pPr>
              <w:pStyle w:val="TableContents"/>
              <w:bidi w:val="0"/>
              <w:spacing w:before="0" w:after="283"/>
              <w:jc w:val="right"/>
              <w:rPr/>
            </w:pPr>
            <w:r>
              <w:rPr/>
              <w:t>4,898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w:t>
            </w:r>
          </w:p>
        </w:tc>
        <w:tc>
          <w:tcPr>
            <w:tcW w:w="831" w:type="dxa"/>
            <w:tcBorders/>
            <w:shd w:fill="CCEEFF" w:val="clear"/>
            <w:vAlign w:val="center"/>
          </w:tcPr>
          <w:p>
            <w:pPr>
              <w:pStyle w:val="TableContents"/>
              <w:bidi w:val="0"/>
              <w:spacing w:before="0" w:after="283"/>
              <w:jc w:val="right"/>
              <w:rPr/>
            </w:pPr>
            <w:r>
              <w:rPr/>
              <w:t>1,950</w:t>
            </w:r>
          </w:p>
        </w:tc>
        <w:tc>
          <w:tcPr>
            <w:tcW w:w="135" w:type="dxa"/>
            <w:tcBorders/>
            <w:shd w:fill="CCEEFF" w:val="clear"/>
            <w:vAlign w:val="center"/>
          </w:tcPr>
          <w:p>
            <w:pPr>
              <w:pStyle w:val="TableContents"/>
              <w:bidi w:val="0"/>
              <w:spacing w:before="0" w:after="283"/>
              <w:jc w:val="left"/>
              <w:rPr/>
            </w:pPr>
            <w:r>
              <w:rPr/>
              <w:t> </w:t>
            </w:r>
          </w:p>
        </w:tc>
      </w:tr>
      <w:tr>
        <w:trPr/>
        <w:tc>
          <w:tcPr>
            <w:tcW w:w="4220" w:type="dxa"/>
            <w:tcBorders/>
            <w:vAlign w:val="center"/>
          </w:tcPr>
          <w:p>
            <w:pPr>
              <w:pStyle w:val="TableContents"/>
              <w:bidi w:val="0"/>
              <w:spacing w:before="0" w:after="283"/>
              <w:jc w:val="left"/>
              <w:rPr/>
            </w:pPr>
            <w:r>
              <w:rPr/>
              <w:t>TARA-002 in LMs</w:t>
            </w:r>
          </w:p>
        </w:tc>
        <w:tc>
          <w:tcPr>
            <w:tcW w:w="90"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 </w:t>
            </w:r>
          </w:p>
        </w:tc>
        <w:tc>
          <w:tcPr>
            <w:tcW w:w="1116" w:type="dxa"/>
            <w:tcBorders/>
            <w:vAlign w:val="center"/>
          </w:tcPr>
          <w:p>
            <w:pPr>
              <w:pStyle w:val="TableContents"/>
              <w:bidi w:val="0"/>
              <w:spacing w:before="0" w:after="283"/>
              <w:jc w:val="right"/>
              <w:rPr/>
            </w:pPr>
            <w:r>
              <w:rPr/>
              <w:t>852</w:t>
            </w:r>
          </w:p>
        </w:tc>
        <w:tc>
          <w:tcPr>
            <w:tcW w:w="141"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 </w:t>
            </w:r>
          </w:p>
        </w:tc>
        <w:tc>
          <w:tcPr>
            <w:tcW w:w="1116" w:type="dxa"/>
            <w:tcBorders/>
            <w:vAlign w:val="center"/>
          </w:tcPr>
          <w:p>
            <w:pPr>
              <w:pStyle w:val="TableContents"/>
              <w:bidi w:val="0"/>
              <w:spacing w:before="0" w:after="283"/>
              <w:jc w:val="right"/>
              <w:rPr/>
            </w:pPr>
            <w:r>
              <w:rPr/>
              <w:t>477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c>
          <w:tcPr>
            <w:tcW w:w="831" w:type="dxa"/>
            <w:tcBorders/>
            <w:vAlign w:val="center"/>
          </w:tcPr>
          <w:p>
            <w:pPr>
              <w:pStyle w:val="TableContents"/>
              <w:bidi w:val="0"/>
              <w:spacing w:before="0" w:after="283"/>
              <w:jc w:val="right"/>
              <w:rPr/>
            </w:pPr>
            <w:r>
              <w:rPr/>
              <w:t>375</w:t>
            </w:r>
          </w:p>
        </w:tc>
        <w:tc>
          <w:tcPr>
            <w:tcW w:w="135" w:type="dxa"/>
            <w:tcBorders/>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283"/>
              <w:jc w:val="left"/>
              <w:rPr/>
            </w:pPr>
            <w:r>
              <w:rPr/>
              <w:t>IV Choline Chloride</w:t>
            </w:r>
          </w:p>
        </w:tc>
        <w:tc>
          <w:tcPr>
            <w:tcW w:w="90" w:type="dxa"/>
            <w:tcBorders/>
            <w:shd w:fill="CCEEFF" w:val="clear"/>
            <w:vAlign w:val="center"/>
          </w:tcPr>
          <w:p>
            <w:pPr>
              <w:pStyle w:val="TableContents"/>
              <w:bidi w:val="0"/>
              <w:spacing w:before="0" w:after="283"/>
              <w:jc w:val="left"/>
              <w:rPr/>
            </w:pPr>
            <w:r>
              <w:rPr/>
              <w:t> </w:t>
            </w:r>
          </w:p>
        </w:tc>
        <w:tc>
          <w:tcPr>
            <w:tcW w:w="26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6" w:type="dxa"/>
            <w:tcBorders>
              <w:bottom w:val="single" w:sz="12" w:space="0" w:color="000000"/>
            </w:tcBorders>
            <w:shd w:fill="CCEEFF" w:val="clear"/>
            <w:tcMar>
              <w:bottom w:w="28" w:type="dxa"/>
            </w:tcMar>
            <w:vAlign w:val="center"/>
          </w:tcPr>
          <w:p>
            <w:pPr>
              <w:pStyle w:val="TableContents"/>
              <w:bidi w:val="0"/>
              <w:spacing w:before="0" w:after="283"/>
              <w:jc w:val="right"/>
              <w:rPr/>
            </w:pPr>
            <w:r>
              <w:rPr/>
              <w:t>2,726</w:t>
            </w:r>
          </w:p>
        </w:tc>
        <w:tc>
          <w:tcPr>
            <w:tcW w:w="141"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26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6" w:type="dxa"/>
            <w:tcBorders>
              <w:bottom w:val="single" w:sz="12" w:space="0" w:color="000000"/>
            </w:tcBorders>
            <w:shd w:fill="CCEEFF" w:val="clear"/>
            <w:tcMar>
              <w:bottom w:w="28" w:type="dxa"/>
            </w:tcMar>
            <w:vAlign w:val="center"/>
          </w:tcPr>
          <w:p>
            <w:pPr>
              <w:pStyle w:val="TableContents"/>
              <w:bidi w:val="0"/>
              <w:spacing w:before="0" w:after="283"/>
              <w:jc w:val="right"/>
              <w:rPr/>
            </w:pPr>
            <w:r>
              <w:rPr/>
              <w:t>1,852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1" w:type="dxa"/>
            <w:tcBorders>
              <w:bottom w:val="single" w:sz="12" w:space="0" w:color="000000"/>
            </w:tcBorders>
            <w:shd w:fill="CCEEFF" w:val="clear"/>
            <w:tcMar>
              <w:bottom w:w="28" w:type="dxa"/>
            </w:tcMar>
            <w:vAlign w:val="center"/>
          </w:tcPr>
          <w:p>
            <w:pPr>
              <w:pStyle w:val="TableContents"/>
              <w:bidi w:val="0"/>
              <w:spacing w:before="0" w:after="283"/>
              <w:jc w:val="right"/>
              <w:rPr/>
            </w:pPr>
            <w:r>
              <w:rPr/>
              <w:t>874</w:t>
            </w:r>
          </w:p>
        </w:tc>
        <w:tc>
          <w:tcPr>
            <w:tcW w:w="135" w:type="dxa"/>
            <w:tcBorders/>
            <w:shd w:fill="CCEEFF" w:val="clear"/>
            <w:vAlign w:val="center"/>
          </w:tcPr>
          <w:p>
            <w:pPr>
              <w:pStyle w:val="TableContents"/>
              <w:bidi w:val="0"/>
              <w:spacing w:before="0" w:after="283"/>
              <w:jc w:val="left"/>
              <w:rPr/>
            </w:pPr>
            <w:r>
              <w:rPr/>
              <w:t> </w:t>
            </w:r>
          </w:p>
        </w:tc>
      </w:tr>
      <w:tr>
        <w:trPr/>
        <w:tc>
          <w:tcPr>
            <w:tcW w:w="4220" w:type="dxa"/>
            <w:tcBorders/>
            <w:vAlign w:val="center"/>
          </w:tcPr>
          <w:p>
            <w:pPr>
              <w:pStyle w:val="TableContents"/>
              <w:bidi w:val="0"/>
              <w:spacing w:before="0" w:after="283"/>
              <w:jc w:val="left"/>
              <w:rPr/>
            </w:pPr>
            <w:r>
              <w:rPr/>
              <w:t>Total direct expenses by product candidate</w:t>
            </w:r>
          </w:p>
        </w:tc>
        <w:tc>
          <w:tcPr>
            <w:tcW w:w="90"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 </w:t>
            </w:r>
          </w:p>
        </w:tc>
        <w:tc>
          <w:tcPr>
            <w:tcW w:w="1116" w:type="dxa"/>
            <w:tcBorders/>
            <w:vAlign w:val="center"/>
          </w:tcPr>
          <w:p>
            <w:pPr>
              <w:pStyle w:val="TableContents"/>
              <w:bidi w:val="0"/>
              <w:spacing w:before="0" w:after="283"/>
              <w:jc w:val="right"/>
              <w:rPr/>
            </w:pPr>
            <w:r>
              <w:rPr/>
              <w:t>10,426</w:t>
            </w:r>
          </w:p>
        </w:tc>
        <w:tc>
          <w:tcPr>
            <w:tcW w:w="141"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 </w:t>
            </w:r>
          </w:p>
        </w:tc>
        <w:tc>
          <w:tcPr>
            <w:tcW w:w="1116" w:type="dxa"/>
            <w:tcBorders/>
            <w:vAlign w:val="center"/>
          </w:tcPr>
          <w:p>
            <w:pPr>
              <w:pStyle w:val="TableContents"/>
              <w:bidi w:val="0"/>
              <w:spacing w:before="0" w:after="283"/>
              <w:jc w:val="right"/>
              <w:rPr/>
            </w:pPr>
            <w:r>
              <w:rPr/>
              <w:t>7,227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c>
          <w:tcPr>
            <w:tcW w:w="831" w:type="dxa"/>
            <w:tcBorders/>
            <w:vAlign w:val="center"/>
          </w:tcPr>
          <w:p>
            <w:pPr>
              <w:pStyle w:val="TableContents"/>
              <w:bidi w:val="0"/>
              <w:spacing w:before="0" w:after="283"/>
              <w:jc w:val="right"/>
              <w:rPr/>
            </w:pPr>
            <w:r>
              <w:rPr/>
              <w:t>3,199</w:t>
            </w:r>
          </w:p>
        </w:tc>
        <w:tc>
          <w:tcPr>
            <w:tcW w:w="135" w:type="dxa"/>
            <w:tcBorders/>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283"/>
              <w:jc w:val="left"/>
              <w:rPr/>
            </w:pPr>
            <w:r>
              <w:rPr/>
              <w:t>Indirect research and development expenses</w:t>
            </w:r>
          </w:p>
        </w:tc>
        <w:tc>
          <w:tcPr>
            <w:tcW w:w="90" w:type="dxa"/>
            <w:tcBorders/>
            <w:shd w:fill="CCEEFF" w:val="clear"/>
            <w:vAlign w:val="center"/>
          </w:tcPr>
          <w:p>
            <w:pPr>
              <w:pStyle w:val="TableContents"/>
              <w:bidi w:val="0"/>
              <w:spacing w:before="0" w:after="283"/>
              <w:jc w:val="left"/>
              <w:rPr/>
            </w:pPr>
            <w:r>
              <w:rPr/>
              <w:t> </w:t>
            </w:r>
          </w:p>
        </w:tc>
        <w:tc>
          <w:tcPr>
            <w:tcW w:w="26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6" w:type="dxa"/>
            <w:tcBorders>
              <w:bottom w:val="single" w:sz="12" w:space="0" w:color="000000"/>
            </w:tcBorders>
            <w:shd w:fill="CCEEFF" w:val="clear"/>
            <w:tcMar>
              <w:bottom w:w="28" w:type="dxa"/>
            </w:tcMar>
            <w:vAlign w:val="center"/>
          </w:tcPr>
          <w:p>
            <w:pPr>
              <w:pStyle w:val="TableContents"/>
              <w:bidi w:val="0"/>
              <w:spacing w:before="0" w:after="283"/>
              <w:jc w:val="right"/>
              <w:rPr/>
            </w:pPr>
            <w:r>
              <w:rPr/>
              <w:t>6,529</w:t>
            </w:r>
          </w:p>
        </w:tc>
        <w:tc>
          <w:tcPr>
            <w:tcW w:w="141"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26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6" w:type="dxa"/>
            <w:tcBorders>
              <w:bottom w:val="single" w:sz="12" w:space="0" w:color="000000"/>
            </w:tcBorders>
            <w:shd w:fill="CCEEFF" w:val="clear"/>
            <w:tcMar>
              <w:bottom w:w="28" w:type="dxa"/>
            </w:tcMar>
            <w:vAlign w:val="center"/>
          </w:tcPr>
          <w:p>
            <w:pPr>
              <w:pStyle w:val="TableContents"/>
              <w:bidi w:val="0"/>
              <w:spacing w:before="0" w:after="283"/>
              <w:jc w:val="right"/>
              <w:rPr/>
            </w:pPr>
            <w:r>
              <w:rPr/>
              <w:t>3,543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1" w:type="dxa"/>
            <w:tcBorders>
              <w:bottom w:val="single" w:sz="12" w:space="0" w:color="000000"/>
            </w:tcBorders>
            <w:shd w:fill="CCEEFF" w:val="clear"/>
            <w:tcMar>
              <w:bottom w:w="28" w:type="dxa"/>
            </w:tcMar>
            <w:vAlign w:val="center"/>
          </w:tcPr>
          <w:p>
            <w:pPr>
              <w:pStyle w:val="TableContents"/>
              <w:bidi w:val="0"/>
              <w:spacing w:before="0" w:after="283"/>
              <w:jc w:val="right"/>
              <w:rPr/>
            </w:pPr>
            <w:r>
              <w:rPr/>
              <w:t>2,986</w:t>
            </w:r>
          </w:p>
        </w:tc>
        <w:tc>
          <w:tcPr>
            <w:tcW w:w="135" w:type="dxa"/>
            <w:tcBorders/>
            <w:shd w:fill="CCEEFF" w:val="clear"/>
            <w:vAlign w:val="center"/>
          </w:tcPr>
          <w:p>
            <w:pPr>
              <w:pStyle w:val="TableContents"/>
              <w:bidi w:val="0"/>
              <w:spacing w:before="0" w:after="283"/>
              <w:jc w:val="left"/>
              <w:rPr/>
            </w:pPr>
            <w:r>
              <w:rPr/>
              <w:t> </w:t>
            </w:r>
          </w:p>
        </w:tc>
      </w:tr>
      <w:tr>
        <w:trPr/>
        <w:tc>
          <w:tcPr>
            <w:tcW w:w="4220" w:type="dxa"/>
            <w:tcBorders/>
            <w:vAlign w:val="center"/>
          </w:tcPr>
          <w:p>
            <w:pPr>
              <w:pStyle w:val="TableContents"/>
              <w:bidi w:val="0"/>
              <w:spacing w:before="0" w:after="283"/>
              <w:jc w:val="left"/>
              <w:rPr/>
            </w:pPr>
            <w:r>
              <w:rPr/>
              <w:t>Total</w:t>
            </w:r>
          </w:p>
        </w:tc>
        <w:tc>
          <w:tcPr>
            <w:tcW w:w="90" w:type="dxa"/>
            <w:tcBorders/>
            <w:vAlign w:val="center"/>
          </w:tcPr>
          <w:p>
            <w:pPr>
              <w:pStyle w:val="TableContents"/>
              <w:bidi w:val="0"/>
              <w:spacing w:before="0" w:after="283"/>
              <w:jc w:val="left"/>
              <w:rPr/>
            </w:pPr>
            <w:r>
              <w:rPr/>
              <w:t> </w:t>
            </w:r>
          </w:p>
        </w:tc>
        <w:tc>
          <w:tcPr>
            <w:tcW w:w="267" w:type="dxa"/>
            <w:tcBorders>
              <w:bottom w:val="double" w:sz="10" w:space="0" w:color="000000"/>
            </w:tcBorders>
            <w:tcMar>
              <w:bottom w:w="28" w:type="dxa"/>
            </w:tcMar>
            <w:vAlign w:val="center"/>
          </w:tcPr>
          <w:p>
            <w:pPr>
              <w:pStyle w:val="TableContents"/>
              <w:bidi w:val="0"/>
              <w:spacing w:before="0" w:after="283"/>
              <w:jc w:val="left"/>
              <w:rPr/>
            </w:pPr>
            <w:r>
              <w:rPr/>
              <w:t>$</w:t>
            </w:r>
          </w:p>
        </w:tc>
        <w:tc>
          <w:tcPr>
            <w:tcW w:w="1116" w:type="dxa"/>
            <w:tcBorders>
              <w:bottom w:val="double" w:sz="10" w:space="0" w:color="000000"/>
            </w:tcBorders>
            <w:tcMar>
              <w:bottom w:w="28" w:type="dxa"/>
            </w:tcMar>
            <w:vAlign w:val="center"/>
          </w:tcPr>
          <w:p>
            <w:pPr>
              <w:pStyle w:val="TableContents"/>
              <w:bidi w:val="0"/>
              <w:spacing w:before="0" w:after="283"/>
              <w:jc w:val="right"/>
              <w:rPr/>
            </w:pPr>
            <w:r>
              <w:rPr/>
              <w:t>16,955</w:t>
            </w:r>
          </w:p>
        </w:tc>
        <w:tc>
          <w:tcPr>
            <w:tcW w:w="141"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267" w:type="dxa"/>
            <w:tcBorders>
              <w:bottom w:val="double" w:sz="10" w:space="0" w:color="000000"/>
            </w:tcBorders>
            <w:tcMar>
              <w:bottom w:w="28" w:type="dxa"/>
            </w:tcMar>
            <w:vAlign w:val="center"/>
          </w:tcPr>
          <w:p>
            <w:pPr>
              <w:pStyle w:val="TableContents"/>
              <w:bidi w:val="0"/>
              <w:spacing w:before="0" w:after="283"/>
              <w:jc w:val="left"/>
              <w:rPr/>
            </w:pPr>
            <w:r>
              <w:rPr/>
              <w:t>$</w:t>
            </w:r>
          </w:p>
        </w:tc>
        <w:tc>
          <w:tcPr>
            <w:tcW w:w="1116" w:type="dxa"/>
            <w:tcBorders>
              <w:bottom w:val="double" w:sz="10" w:space="0" w:color="000000"/>
            </w:tcBorders>
            <w:tcMar>
              <w:bottom w:w="28" w:type="dxa"/>
            </w:tcMar>
            <w:vAlign w:val="center"/>
          </w:tcPr>
          <w:p>
            <w:pPr>
              <w:pStyle w:val="TableContents"/>
              <w:bidi w:val="0"/>
              <w:spacing w:before="0" w:after="283"/>
              <w:jc w:val="right"/>
              <w:rPr/>
            </w:pPr>
            <w:r>
              <w:rPr/>
              <w:t>10,770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9" w:type="dxa"/>
            <w:tcBorders>
              <w:bottom w:val="double" w:sz="10" w:space="0" w:color="000000"/>
            </w:tcBorders>
            <w:tcMar>
              <w:bottom w:w="28" w:type="dxa"/>
            </w:tcMar>
            <w:vAlign w:val="center"/>
          </w:tcPr>
          <w:p>
            <w:pPr>
              <w:pStyle w:val="TableContents"/>
              <w:bidi w:val="0"/>
              <w:spacing w:before="0" w:after="283"/>
              <w:jc w:val="left"/>
              <w:rPr/>
            </w:pPr>
            <w:r>
              <w:rPr/>
              <w:t>$</w:t>
            </w:r>
          </w:p>
        </w:tc>
        <w:tc>
          <w:tcPr>
            <w:tcW w:w="831" w:type="dxa"/>
            <w:tcBorders>
              <w:bottom w:val="double" w:sz="10" w:space="0" w:color="000000"/>
            </w:tcBorders>
            <w:tcMar>
              <w:bottom w:w="28" w:type="dxa"/>
            </w:tcMar>
            <w:vAlign w:val="center"/>
          </w:tcPr>
          <w:p>
            <w:pPr>
              <w:pStyle w:val="TableContents"/>
              <w:bidi w:val="0"/>
              <w:spacing w:before="0" w:after="283"/>
              <w:jc w:val="right"/>
              <w:rPr/>
            </w:pPr>
            <w:r>
              <w:rPr/>
              <w:t>6,185</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were $17.0 million for the three months ended June 30, 2026, which represented an increase of approximately $6.2 million as compared to the three months ended June 30, 2025. This increase was primarily due to a $3.2 million increase in direct expenses for our product candidates and a $3.0 million increase in indirect expenses. The increase in direct expenses was primarily due to higher ongoing costs associated with all of our ongoing clinical trials. The increase in indirect expenses was primarily due to a $1.8 million increase in personnel-related expenses and a $1.2 million increase in research and development expenses not directly attributable to one specific product candidate, which were primarily attributable to chemistry, manufacturing and controls, or CMC, related activities.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general and administrative expenses (in thousands):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645"/>
        <w:gridCol w:w="90"/>
        <w:gridCol w:w="305"/>
        <w:gridCol w:w="1058"/>
        <w:gridCol w:w="161"/>
        <w:gridCol w:w="161"/>
        <w:gridCol w:w="305"/>
        <w:gridCol w:w="1060"/>
        <w:gridCol w:w="90"/>
        <w:gridCol w:w="90"/>
        <w:gridCol w:w="277"/>
        <w:gridCol w:w="793"/>
        <w:gridCol w:w="170"/>
      </w:tblGrid>
      <w:tr>
        <w:trPr/>
        <w:tc>
          <w:tcPr>
            <w:tcW w:w="56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5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Three Months Ended</w:t>
              <w:br/>
              <w:t>June 30,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283"/>
              <w:jc w:val="center"/>
              <w:rPr>
                <w:b/>
              </w:rPr>
            </w:pPr>
            <w:r>
              <w:rPr>
                <w:b/>
              </w:rPr>
              <w:t>Period-to-</w:t>
              <w:br/>
              <w:t>Period</w:t>
            </w:r>
          </w:p>
        </w:tc>
        <w:tc>
          <w:tcPr>
            <w:tcW w:w="170" w:type="dxa"/>
            <w:tcBorders/>
            <w:vAlign w:val="center"/>
          </w:tcPr>
          <w:p>
            <w:pPr>
              <w:pStyle w:val="TableContents"/>
              <w:bidi w:val="0"/>
              <w:spacing w:before="0" w:after="283"/>
              <w:jc w:val="left"/>
              <w:rPr/>
            </w:pPr>
            <w:r>
              <w:rPr/>
              <w:t> </w:t>
            </w:r>
          </w:p>
        </w:tc>
      </w:tr>
      <w:tr>
        <w:trPr/>
        <w:tc>
          <w:tcPr>
            <w:tcW w:w="56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6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61"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136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170" w:type="dxa"/>
            <w:tcBorders/>
            <w:vAlign w:val="center"/>
          </w:tcPr>
          <w:p>
            <w:pPr>
              <w:pStyle w:val="TableContents"/>
              <w:bidi w:val="0"/>
              <w:spacing w:before="0" w:after="283"/>
              <w:ind w:left="0" w:right="0" w:hanging="180"/>
              <w:jc w:val="left"/>
              <w:rPr/>
            </w:pPr>
            <w:r>
              <w:rPr/>
              <w:t> </w:t>
            </w:r>
          </w:p>
        </w:tc>
      </w:tr>
      <w:tr>
        <w:trPr/>
        <w:tc>
          <w:tcPr>
            <w:tcW w:w="5645" w:type="dxa"/>
            <w:tcBorders/>
            <w:shd w:fill="CCEEFF" w:val="clear"/>
            <w:vAlign w:val="center"/>
          </w:tcPr>
          <w:p>
            <w:pPr>
              <w:pStyle w:val="TableContents"/>
              <w:bidi w:val="0"/>
              <w:spacing w:before="0" w:after="283"/>
              <w:jc w:val="left"/>
              <w:rPr/>
            </w:pPr>
            <w:r>
              <w:rPr/>
              <w:t>Personnel-related expenses, including stock-based compensation</w:t>
            </w:r>
          </w:p>
        </w:tc>
        <w:tc>
          <w:tcPr>
            <w:tcW w:w="9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w:t>
            </w:r>
          </w:p>
        </w:tc>
        <w:tc>
          <w:tcPr>
            <w:tcW w:w="1058" w:type="dxa"/>
            <w:tcBorders/>
            <w:shd w:fill="CCEEFF" w:val="clear"/>
            <w:vAlign w:val="center"/>
          </w:tcPr>
          <w:p>
            <w:pPr>
              <w:pStyle w:val="TableContents"/>
              <w:bidi w:val="0"/>
              <w:spacing w:before="0" w:after="283"/>
              <w:jc w:val="right"/>
              <w:rPr/>
            </w:pPr>
            <w:r>
              <w:rPr/>
              <w:t>3,351</w:t>
            </w:r>
          </w:p>
        </w:tc>
        <w:tc>
          <w:tcPr>
            <w:tcW w:w="161"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w:t>
            </w:r>
          </w:p>
        </w:tc>
        <w:tc>
          <w:tcPr>
            <w:tcW w:w="1060" w:type="dxa"/>
            <w:tcBorders/>
            <w:shd w:fill="CCEEFF" w:val="clear"/>
            <w:vAlign w:val="center"/>
          </w:tcPr>
          <w:p>
            <w:pPr>
              <w:pStyle w:val="TableContents"/>
              <w:bidi w:val="0"/>
              <w:spacing w:before="0" w:after="283"/>
              <w:jc w:val="right"/>
              <w:rPr/>
            </w:pPr>
            <w:r>
              <w:rPr/>
              <w:t>2,666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w:t>
            </w:r>
          </w:p>
        </w:tc>
        <w:tc>
          <w:tcPr>
            <w:tcW w:w="793" w:type="dxa"/>
            <w:tcBorders/>
            <w:shd w:fill="CCEEFF" w:val="clear"/>
            <w:vAlign w:val="center"/>
          </w:tcPr>
          <w:p>
            <w:pPr>
              <w:pStyle w:val="TableContents"/>
              <w:bidi w:val="0"/>
              <w:spacing w:before="0" w:after="283"/>
              <w:jc w:val="right"/>
              <w:rPr/>
            </w:pPr>
            <w:r>
              <w:rPr/>
              <w:t>685</w:t>
            </w:r>
          </w:p>
        </w:tc>
        <w:tc>
          <w:tcPr>
            <w:tcW w:w="170" w:type="dxa"/>
            <w:tcBorders/>
            <w:shd w:fill="CCEEFF" w:val="clear"/>
            <w:vAlign w:val="center"/>
          </w:tcPr>
          <w:p>
            <w:pPr>
              <w:pStyle w:val="TableContents"/>
              <w:bidi w:val="0"/>
              <w:spacing w:before="0" w:after="283"/>
              <w:jc w:val="left"/>
              <w:rPr/>
            </w:pPr>
            <w:r>
              <w:rPr/>
              <w:t> </w:t>
            </w:r>
          </w:p>
        </w:tc>
      </w:tr>
      <w:tr>
        <w:trPr/>
        <w:tc>
          <w:tcPr>
            <w:tcW w:w="5645" w:type="dxa"/>
            <w:tcBorders/>
            <w:vAlign w:val="center"/>
          </w:tcPr>
          <w:p>
            <w:pPr>
              <w:pStyle w:val="TableContents"/>
              <w:bidi w:val="0"/>
              <w:spacing w:before="0" w:after="283"/>
              <w:jc w:val="left"/>
              <w:rPr/>
            </w:pPr>
            <w:r>
              <w:rPr/>
              <w:t>Other general and administrative expenses</w:t>
            </w:r>
          </w:p>
        </w:tc>
        <w:tc>
          <w:tcPr>
            <w:tcW w:w="90" w:type="dxa"/>
            <w:tcBorders/>
            <w:vAlign w:val="center"/>
          </w:tcPr>
          <w:p>
            <w:pPr>
              <w:pStyle w:val="TableContents"/>
              <w:bidi w:val="0"/>
              <w:spacing w:before="0" w:after="283"/>
              <w:jc w:val="left"/>
              <w:rPr/>
            </w:pPr>
            <w:r>
              <w:rPr/>
              <w:t> </w:t>
            </w:r>
          </w:p>
        </w:tc>
        <w:tc>
          <w:tcPr>
            <w:tcW w:w="305" w:type="dxa"/>
            <w:tcBorders>
              <w:bottom w:val="single" w:sz="12" w:space="0" w:color="000000"/>
            </w:tcBorders>
            <w:tcMar>
              <w:bottom w:w="28" w:type="dxa"/>
            </w:tcMar>
            <w:vAlign w:val="center"/>
          </w:tcPr>
          <w:p>
            <w:pPr>
              <w:pStyle w:val="TableContents"/>
              <w:bidi w:val="0"/>
              <w:spacing w:before="0" w:after="283"/>
              <w:jc w:val="left"/>
              <w:rPr/>
            </w:pPr>
            <w:r>
              <w:rPr/>
              <w:t> </w:t>
            </w:r>
          </w:p>
        </w:tc>
        <w:tc>
          <w:tcPr>
            <w:tcW w:w="1058" w:type="dxa"/>
            <w:tcBorders>
              <w:bottom w:val="single" w:sz="12" w:space="0" w:color="000000"/>
            </w:tcBorders>
            <w:tcMar>
              <w:bottom w:w="28" w:type="dxa"/>
            </w:tcMar>
            <w:vAlign w:val="center"/>
          </w:tcPr>
          <w:p>
            <w:pPr>
              <w:pStyle w:val="TableContents"/>
              <w:bidi w:val="0"/>
              <w:spacing w:before="0" w:after="283"/>
              <w:jc w:val="right"/>
              <w:rPr/>
            </w:pPr>
            <w:r>
              <w:rPr/>
              <w:t>3,018</w:t>
            </w:r>
          </w:p>
        </w:tc>
        <w:tc>
          <w:tcPr>
            <w:tcW w:w="161"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305" w:type="dxa"/>
            <w:tcBorders>
              <w:bottom w:val="single" w:sz="12" w:space="0" w:color="000000"/>
            </w:tcBorders>
            <w:tcMar>
              <w:bottom w:w="28" w:type="dxa"/>
            </w:tcMar>
            <w:vAlign w:val="center"/>
          </w:tcPr>
          <w:p>
            <w:pPr>
              <w:pStyle w:val="TableContents"/>
              <w:bidi w:val="0"/>
              <w:spacing w:before="0" w:after="283"/>
              <w:jc w:val="left"/>
              <w:rPr/>
            </w:pPr>
            <w:r>
              <w:rPr/>
              <w:t> </w:t>
            </w:r>
          </w:p>
        </w:tc>
        <w:tc>
          <w:tcPr>
            <w:tcW w:w="1060" w:type="dxa"/>
            <w:tcBorders>
              <w:bottom w:val="single" w:sz="12" w:space="0" w:color="000000"/>
            </w:tcBorders>
            <w:tcMar>
              <w:bottom w:w="28" w:type="dxa"/>
            </w:tcMar>
            <w:vAlign w:val="center"/>
          </w:tcPr>
          <w:p>
            <w:pPr>
              <w:pStyle w:val="TableContents"/>
              <w:bidi w:val="0"/>
              <w:spacing w:before="0" w:after="283"/>
              <w:jc w:val="right"/>
              <w:rPr/>
            </w:pPr>
            <w:r>
              <w:rPr/>
              <w:t>3,150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7" w:type="dxa"/>
            <w:tcBorders>
              <w:bottom w:val="single" w:sz="12" w:space="0" w:color="000000"/>
            </w:tcBorders>
            <w:tcMar>
              <w:bottom w:w="28" w:type="dxa"/>
            </w:tcMar>
            <w:vAlign w:val="center"/>
          </w:tcPr>
          <w:p>
            <w:pPr>
              <w:pStyle w:val="TableContents"/>
              <w:bidi w:val="0"/>
              <w:spacing w:before="0" w:after="283"/>
              <w:jc w:val="left"/>
              <w:rPr/>
            </w:pPr>
            <w:r>
              <w:rPr/>
              <w:t> </w:t>
            </w:r>
          </w:p>
        </w:tc>
        <w:tc>
          <w:tcPr>
            <w:tcW w:w="793" w:type="dxa"/>
            <w:tcBorders>
              <w:bottom w:val="single" w:sz="12" w:space="0" w:color="000000"/>
            </w:tcBorders>
            <w:tcMar>
              <w:bottom w:w="28" w:type="dxa"/>
            </w:tcMar>
            <w:vAlign w:val="center"/>
          </w:tcPr>
          <w:p>
            <w:pPr>
              <w:pStyle w:val="TableContents"/>
              <w:bidi w:val="0"/>
              <w:spacing w:before="0" w:after="283"/>
              <w:jc w:val="right"/>
              <w:rPr/>
            </w:pPr>
            <w:r>
              <w:rPr/>
              <w:t>(132</w:t>
            </w:r>
          </w:p>
        </w:tc>
        <w:tc>
          <w:tcPr>
            <w:tcW w:w="170" w:type="dxa"/>
            <w:tcBorders/>
            <w:vAlign w:val="center"/>
          </w:tcPr>
          <w:p>
            <w:pPr>
              <w:pStyle w:val="TableContents"/>
              <w:bidi w:val="0"/>
              <w:spacing w:before="0" w:after="283"/>
              <w:jc w:val="left"/>
              <w:rPr/>
            </w:pPr>
            <w:r>
              <w:rPr/>
              <w:t>)</w:t>
            </w:r>
          </w:p>
        </w:tc>
      </w:tr>
      <w:tr>
        <w:trPr/>
        <w:tc>
          <w:tcPr>
            <w:tcW w:w="5645" w:type="dxa"/>
            <w:tcBorders/>
            <w:shd w:fill="CCEEFF" w:val="clear"/>
            <w:vAlign w:val="center"/>
          </w:tcPr>
          <w:p>
            <w:pPr>
              <w:pStyle w:val="TableContents"/>
              <w:bidi w:val="0"/>
              <w:spacing w:before="0" w:after="283"/>
              <w:jc w:val="left"/>
              <w:rPr/>
            </w:pPr>
            <w:r>
              <w:rPr/>
              <w:t>Total</w:t>
            </w:r>
          </w:p>
        </w:tc>
        <w:tc>
          <w:tcPr>
            <w:tcW w:w="90" w:type="dxa"/>
            <w:tcBorders/>
            <w:shd w:fill="CCEEFF" w:val="clear"/>
            <w:vAlign w:val="center"/>
          </w:tcPr>
          <w:p>
            <w:pPr>
              <w:pStyle w:val="TableContents"/>
              <w:bidi w:val="0"/>
              <w:spacing w:before="0" w:after="283"/>
              <w:jc w:val="left"/>
              <w:rPr/>
            </w:pPr>
            <w:r>
              <w:rPr/>
              <w:t> </w:t>
            </w:r>
          </w:p>
        </w:tc>
        <w:tc>
          <w:tcPr>
            <w:tcW w:w="30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58" w:type="dxa"/>
            <w:tcBorders>
              <w:bottom w:val="double" w:sz="10" w:space="0" w:color="000000"/>
            </w:tcBorders>
            <w:shd w:fill="CCEEFF" w:val="clear"/>
            <w:tcMar>
              <w:bottom w:w="28" w:type="dxa"/>
            </w:tcMar>
            <w:vAlign w:val="center"/>
          </w:tcPr>
          <w:p>
            <w:pPr>
              <w:pStyle w:val="TableContents"/>
              <w:bidi w:val="0"/>
              <w:spacing w:before="0" w:after="283"/>
              <w:jc w:val="right"/>
              <w:rPr/>
            </w:pPr>
            <w:r>
              <w:rPr/>
              <w:t>6,369</w:t>
            </w:r>
          </w:p>
        </w:tc>
        <w:tc>
          <w:tcPr>
            <w:tcW w:w="161"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30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60" w:type="dxa"/>
            <w:tcBorders>
              <w:bottom w:val="double" w:sz="10" w:space="0" w:color="000000"/>
            </w:tcBorders>
            <w:shd w:fill="CCEEFF" w:val="clear"/>
            <w:tcMar>
              <w:bottom w:w="28" w:type="dxa"/>
            </w:tcMar>
            <w:vAlign w:val="center"/>
          </w:tcPr>
          <w:p>
            <w:pPr>
              <w:pStyle w:val="TableContents"/>
              <w:bidi w:val="0"/>
              <w:spacing w:before="0" w:after="283"/>
              <w:jc w:val="right"/>
              <w:rPr/>
            </w:pPr>
            <w:r>
              <w:rPr/>
              <w:t>5,816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93" w:type="dxa"/>
            <w:tcBorders>
              <w:bottom w:val="double" w:sz="10" w:space="0" w:color="000000"/>
            </w:tcBorders>
            <w:shd w:fill="CCEEFF" w:val="clear"/>
            <w:tcMar>
              <w:bottom w:w="28" w:type="dxa"/>
            </w:tcMar>
            <w:vAlign w:val="center"/>
          </w:tcPr>
          <w:p>
            <w:pPr>
              <w:pStyle w:val="TableContents"/>
              <w:bidi w:val="0"/>
              <w:spacing w:before="0" w:after="283"/>
              <w:jc w:val="right"/>
              <w:rPr/>
            </w:pPr>
            <w:r>
              <w:rPr/>
              <w:t>553</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were $6.4 million for the three months ended June 30, 2026, which represented an increase of approximately $0.6 million as compared to the three months ended June 30, 2025. This increase was primarily due to an increase of $0.7 million in personnel-related expenses, offset by a decrease of $0.1 million in other general and administrative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income (expense), net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(expense), net was $1.7 million for the three months ended June 30, 2026, which represented an increase of approximately $0.1 million as compared to the three months ended June 30, 2025. The increase was driven by higher interest and investment income in the three months ended June 30,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the Six Months Ended June 30,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results of operations (in thousands):</w:t>
      </w:r>
    </w:p>
    <w:p>
      <w:pPr>
        <w:pStyle w:val="TextBody"/>
        <w:bidi w:val="0"/>
        <w:spacing w:before="0" w:after="0"/>
        <w:ind w:left="0" w:right="0" w:firstLine="360"/>
        <w:jc w:val="both"/>
        <w:rPr>
          <w:caps w:val="false"/>
          <w:smallCaps w:val="false"/>
        </w:rPr>
      </w:pPr>
      <w:r>
        <w:rPr>
          <w:caps w:val="false"/>
          <w:smallCaps w:val="false"/>
        </w:rPr>
        <w:t> </w:t>
      </w:r>
    </w:p>
    <w:tbl>
      <w:tblPr>
        <w:tblW w:w="8257" w:type="dxa"/>
        <w:jc w:val="left"/>
        <w:tblInd w:w="0" w:type="dxa"/>
        <w:tblLayout w:type="fixed"/>
        <w:tblCellMar>
          <w:top w:w="0" w:type="dxa"/>
          <w:left w:w="0" w:type="dxa"/>
          <w:bottom w:w="0" w:type="dxa"/>
          <w:right w:w="0" w:type="dxa"/>
        </w:tblCellMar>
      </w:tblPr>
      <w:tblGrid>
        <w:gridCol w:w="3965"/>
        <w:gridCol w:w="90"/>
        <w:gridCol w:w="220"/>
        <w:gridCol w:w="1015"/>
        <w:gridCol w:w="161"/>
        <w:gridCol w:w="116"/>
        <w:gridCol w:w="220"/>
        <w:gridCol w:w="1015"/>
        <w:gridCol w:w="125"/>
        <w:gridCol w:w="90"/>
        <w:gridCol w:w="190"/>
        <w:gridCol w:w="880"/>
        <w:gridCol w:w="170"/>
      </w:tblGrid>
      <w:tr>
        <w:trPr/>
        <w:tc>
          <w:tcPr>
            <w:tcW w:w="39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4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Six Months Ended</w:t>
              <w:br/>
              <w:t>June 30,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283"/>
              <w:jc w:val="center"/>
              <w:rPr>
                <w:b/>
              </w:rPr>
            </w:pPr>
            <w:r>
              <w:rPr>
                <w:b/>
              </w:rPr>
              <w:t>Period-to-</w:t>
              <w:br/>
              <w:t>Period</w:t>
            </w:r>
          </w:p>
        </w:tc>
        <w:tc>
          <w:tcPr>
            <w:tcW w:w="170" w:type="dxa"/>
            <w:tcBorders/>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61"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170" w:type="dxa"/>
            <w:tcBorders/>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left"/>
              <w:rPr/>
            </w:pPr>
            <w:r>
              <w:rPr/>
              <w:t>Operating expenses:</w:t>
            </w:r>
          </w:p>
        </w:tc>
        <w:tc>
          <w:tcPr>
            <w:tcW w:w="9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283"/>
              <w:jc w:val="right"/>
              <w:rPr/>
            </w:pPr>
            <w:r>
              <w:rPr/>
              <w:t> </w:t>
            </w:r>
          </w:p>
        </w:tc>
        <w:tc>
          <w:tcPr>
            <w:tcW w:w="161"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283"/>
              <w:jc w:val="left"/>
              <w:rPr/>
            </w:pPr>
            <w:r>
              <w:rPr/>
              <w:t>Research and development</w:t>
            </w:r>
          </w:p>
        </w:tc>
        <w:tc>
          <w:tcPr>
            <w:tcW w:w="9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w:t>
            </w:r>
          </w:p>
        </w:tc>
        <w:tc>
          <w:tcPr>
            <w:tcW w:w="1015" w:type="dxa"/>
            <w:tcBorders/>
            <w:shd w:fill="CCEEFF" w:val="clear"/>
            <w:vAlign w:val="center"/>
          </w:tcPr>
          <w:p>
            <w:pPr>
              <w:pStyle w:val="TableContents"/>
              <w:bidi w:val="0"/>
              <w:spacing w:before="0" w:after="283"/>
              <w:jc w:val="right"/>
              <w:rPr/>
            </w:pPr>
            <w:r>
              <w:rPr/>
              <w:t>30,517</w:t>
            </w:r>
          </w:p>
        </w:tc>
        <w:tc>
          <w:tcPr>
            <w:tcW w:w="161"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w:t>
            </w:r>
          </w:p>
        </w:tc>
        <w:tc>
          <w:tcPr>
            <w:tcW w:w="1015" w:type="dxa"/>
            <w:tcBorders/>
            <w:shd w:fill="CCEEFF" w:val="clear"/>
            <w:vAlign w:val="center"/>
          </w:tcPr>
          <w:p>
            <w:pPr>
              <w:pStyle w:val="TableContents"/>
              <w:bidi w:val="0"/>
              <w:spacing w:before="0" w:after="283"/>
              <w:jc w:val="right"/>
              <w:rPr/>
            </w:pPr>
            <w:r>
              <w:rPr/>
              <w:t>19,918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w:t>
            </w:r>
          </w:p>
        </w:tc>
        <w:tc>
          <w:tcPr>
            <w:tcW w:w="880" w:type="dxa"/>
            <w:tcBorders/>
            <w:shd w:fill="CCEEFF" w:val="clear"/>
            <w:vAlign w:val="center"/>
          </w:tcPr>
          <w:p>
            <w:pPr>
              <w:pStyle w:val="TableContents"/>
              <w:bidi w:val="0"/>
              <w:spacing w:before="0" w:after="283"/>
              <w:jc w:val="right"/>
              <w:rPr/>
            </w:pPr>
            <w:r>
              <w:rPr/>
              <w:t>10,599</w:t>
            </w:r>
          </w:p>
        </w:tc>
        <w:tc>
          <w:tcPr>
            <w:tcW w:w="170" w:type="dxa"/>
            <w:tcBorders/>
            <w:shd w:fill="CCEEFF" w:val="clear"/>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left"/>
              <w:rPr/>
            </w:pPr>
            <w:r>
              <w:rPr/>
              <w:t>General and administrative</w:t>
            </w:r>
          </w:p>
        </w:tc>
        <w:tc>
          <w:tcPr>
            <w:tcW w:w="90" w:type="dxa"/>
            <w:tcBorders/>
            <w:vAlign w:val="center"/>
          </w:tcPr>
          <w:p>
            <w:pPr>
              <w:pStyle w:val="TableContents"/>
              <w:bidi w:val="0"/>
              <w:spacing w:before="0" w:after="283"/>
              <w:jc w:val="left"/>
              <w:rPr/>
            </w:pPr>
            <w:r>
              <w:rPr/>
              <w:t> </w:t>
            </w:r>
          </w:p>
        </w:tc>
        <w:tc>
          <w:tcPr>
            <w:tcW w:w="22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5" w:type="dxa"/>
            <w:tcBorders>
              <w:bottom w:val="single" w:sz="12" w:space="0" w:color="000000"/>
            </w:tcBorders>
            <w:tcMar>
              <w:bottom w:w="28" w:type="dxa"/>
            </w:tcMar>
            <w:vAlign w:val="center"/>
          </w:tcPr>
          <w:p>
            <w:pPr>
              <w:pStyle w:val="TableContents"/>
              <w:bidi w:val="0"/>
              <w:spacing w:before="0" w:after="283"/>
              <w:jc w:val="right"/>
              <w:rPr/>
            </w:pPr>
            <w:r>
              <w:rPr/>
              <w:t>12,436</w:t>
            </w:r>
          </w:p>
        </w:tc>
        <w:tc>
          <w:tcPr>
            <w:tcW w:w="161"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22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5" w:type="dxa"/>
            <w:tcBorders>
              <w:bottom w:val="single" w:sz="12" w:space="0" w:color="000000"/>
            </w:tcBorders>
            <w:tcMar>
              <w:bottom w:w="28" w:type="dxa"/>
            </w:tcMar>
            <w:vAlign w:val="center"/>
          </w:tcPr>
          <w:p>
            <w:pPr>
              <w:pStyle w:val="TableContents"/>
              <w:bidi w:val="0"/>
              <w:spacing w:before="0" w:after="283"/>
              <w:jc w:val="right"/>
              <w:rPr/>
            </w:pPr>
            <w:r>
              <w:rPr/>
              <w:t>10,792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0" w:type="dxa"/>
            <w:tcBorders>
              <w:bottom w:val="single" w:sz="12" w:space="0" w:color="000000"/>
            </w:tcBorders>
            <w:tcMar>
              <w:bottom w:w="28" w:type="dxa"/>
            </w:tcMar>
            <w:vAlign w:val="center"/>
          </w:tcPr>
          <w:p>
            <w:pPr>
              <w:pStyle w:val="TableContents"/>
              <w:bidi w:val="0"/>
              <w:spacing w:before="0" w:after="283"/>
              <w:jc w:val="left"/>
              <w:rPr/>
            </w:pPr>
            <w:r>
              <w:rPr/>
              <w:t> </w:t>
            </w:r>
          </w:p>
        </w:tc>
        <w:tc>
          <w:tcPr>
            <w:tcW w:w="880" w:type="dxa"/>
            <w:tcBorders>
              <w:bottom w:val="single" w:sz="12" w:space="0" w:color="000000"/>
            </w:tcBorders>
            <w:tcMar>
              <w:bottom w:w="28" w:type="dxa"/>
            </w:tcMar>
            <w:vAlign w:val="center"/>
          </w:tcPr>
          <w:p>
            <w:pPr>
              <w:pStyle w:val="TableContents"/>
              <w:bidi w:val="0"/>
              <w:spacing w:before="0" w:after="283"/>
              <w:jc w:val="right"/>
              <w:rPr/>
            </w:pPr>
            <w:r>
              <w:rPr/>
              <w:t>1,644</w:t>
            </w:r>
          </w:p>
        </w:tc>
        <w:tc>
          <w:tcPr>
            <w:tcW w:w="170" w:type="dxa"/>
            <w:tcBorders/>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283"/>
              <w:jc w:val="left"/>
              <w:rPr/>
            </w:pPr>
            <w:r>
              <w:rPr/>
              <w:t>Total operating expenses</w:t>
            </w:r>
          </w:p>
        </w:tc>
        <w:tc>
          <w:tcPr>
            <w:tcW w:w="90" w:type="dxa"/>
            <w:tcBorders/>
            <w:shd w:fill="CCEEFF" w:val="clear"/>
            <w:vAlign w:val="center"/>
          </w:tcPr>
          <w:p>
            <w:pPr>
              <w:pStyle w:val="TableContents"/>
              <w:bidi w:val="0"/>
              <w:spacing w:before="0" w:after="283"/>
              <w:jc w:val="left"/>
              <w:rPr/>
            </w:pPr>
            <w:r>
              <w:rPr/>
              <w:t> </w:t>
            </w:r>
          </w:p>
        </w:tc>
        <w:tc>
          <w:tcPr>
            <w:tcW w:w="22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5" w:type="dxa"/>
            <w:tcBorders>
              <w:bottom w:val="single" w:sz="12" w:space="0" w:color="000000"/>
            </w:tcBorders>
            <w:shd w:fill="CCEEFF" w:val="clear"/>
            <w:tcMar>
              <w:bottom w:w="28" w:type="dxa"/>
            </w:tcMar>
            <w:vAlign w:val="center"/>
          </w:tcPr>
          <w:p>
            <w:pPr>
              <w:pStyle w:val="TableContents"/>
              <w:bidi w:val="0"/>
              <w:spacing w:before="0" w:after="283"/>
              <w:jc w:val="right"/>
              <w:rPr/>
            </w:pPr>
            <w:r>
              <w:rPr/>
              <w:t>42,953</w:t>
            </w:r>
          </w:p>
        </w:tc>
        <w:tc>
          <w:tcPr>
            <w:tcW w:w="161"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2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5" w:type="dxa"/>
            <w:tcBorders>
              <w:bottom w:val="single" w:sz="12" w:space="0" w:color="000000"/>
            </w:tcBorders>
            <w:shd w:fill="CCEEFF" w:val="clear"/>
            <w:tcMar>
              <w:bottom w:w="28" w:type="dxa"/>
            </w:tcMar>
            <w:vAlign w:val="center"/>
          </w:tcPr>
          <w:p>
            <w:pPr>
              <w:pStyle w:val="TableContents"/>
              <w:bidi w:val="0"/>
              <w:spacing w:before="0" w:after="283"/>
              <w:jc w:val="right"/>
              <w:rPr/>
            </w:pPr>
            <w:r>
              <w:rPr/>
              <w:t>30,710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0" w:type="dxa"/>
            <w:tcBorders>
              <w:bottom w:val="single" w:sz="12" w:space="0" w:color="000000"/>
            </w:tcBorders>
            <w:shd w:fill="CCEEFF" w:val="clear"/>
            <w:tcMar>
              <w:bottom w:w="28" w:type="dxa"/>
            </w:tcMar>
            <w:vAlign w:val="center"/>
          </w:tcPr>
          <w:p>
            <w:pPr>
              <w:pStyle w:val="TableContents"/>
              <w:bidi w:val="0"/>
              <w:spacing w:before="0" w:after="283"/>
              <w:jc w:val="right"/>
              <w:rPr/>
            </w:pPr>
            <w:r>
              <w:rPr/>
              <w:t>12,243</w:t>
            </w:r>
          </w:p>
        </w:tc>
        <w:tc>
          <w:tcPr>
            <w:tcW w:w="170" w:type="dxa"/>
            <w:tcBorders/>
            <w:shd w:fill="CCEEFF" w:val="clear"/>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left"/>
              <w:rPr/>
            </w:pPr>
            <w:r>
              <w:rPr/>
              <w:t>Income (Loss) from operations</w:t>
            </w:r>
          </w:p>
        </w:tc>
        <w:tc>
          <w:tcPr>
            <w:tcW w:w="9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015" w:type="dxa"/>
            <w:tcBorders/>
            <w:vAlign w:val="center"/>
          </w:tcPr>
          <w:p>
            <w:pPr>
              <w:pStyle w:val="TableContents"/>
              <w:bidi w:val="0"/>
              <w:spacing w:before="0" w:after="283"/>
              <w:jc w:val="right"/>
              <w:rPr/>
            </w:pPr>
            <w:r>
              <w:rPr/>
              <w:t>(42,953</w:t>
            </w:r>
          </w:p>
        </w:tc>
        <w:tc>
          <w:tcPr>
            <w:tcW w:w="161" w:type="dxa"/>
            <w:tcBorders/>
            <w:vAlign w:val="center"/>
          </w:tcPr>
          <w:p>
            <w:pPr>
              <w:pStyle w:val="TableContents"/>
              <w:bidi w:val="0"/>
              <w:spacing w:before="0" w:after="283"/>
              <w:jc w:val="left"/>
              <w:rPr/>
            </w:pPr>
            <w:r>
              <w:rPr/>
              <w:t>)</w:t>
            </w:r>
          </w:p>
        </w:tc>
        <w:tc>
          <w:tcPr>
            <w:tcW w:w="116"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015" w:type="dxa"/>
            <w:tcBorders/>
            <w:vAlign w:val="center"/>
          </w:tcPr>
          <w:p>
            <w:pPr>
              <w:pStyle w:val="TableContents"/>
              <w:bidi w:val="0"/>
              <w:spacing w:before="0" w:after="283"/>
              <w:jc w:val="right"/>
              <w:rPr/>
            </w:pPr>
            <w:r>
              <w:rPr/>
              <w:t>(30,710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880" w:type="dxa"/>
            <w:tcBorders/>
            <w:vAlign w:val="center"/>
          </w:tcPr>
          <w:p>
            <w:pPr>
              <w:pStyle w:val="TableContents"/>
              <w:bidi w:val="0"/>
              <w:spacing w:before="0" w:after="283"/>
              <w:jc w:val="right"/>
              <w:rPr/>
            </w:pPr>
            <w:r>
              <w:rPr/>
              <w:t>(12,243</w:t>
            </w:r>
          </w:p>
        </w:tc>
        <w:tc>
          <w:tcPr>
            <w:tcW w:w="170" w:type="dxa"/>
            <w:tcBorders/>
            <w:vAlign w:val="center"/>
          </w:tcPr>
          <w:p>
            <w:pPr>
              <w:pStyle w:val="TableContents"/>
              <w:bidi w:val="0"/>
              <w:spacing w:before="0" w:after="283"/>
              <w:jc w:val="left"/>
              <w:rPr/>
            </w:pPr>
            <w:r>
              <w:rPr/>
              <w:t>)</w:t>
            </w:r>
          </w:p>
        </w:tc>
      </w:tr>
      <w:tr>
        <w:trPr/>
        <w:tc>
          <w:tcPr>
            <w:tcW w:w="3965" w:type="dxa"/>
            <w:tcBorders/>
            <w:shd w:fill="CCEEFF" w:val="clear"/>
            <w:vAlign w:val="center"/>
          </w:tcPr>
          <w:p>
            <w:pPr>
              <w:pStyle w:val="TableContents"/>
              <w:bidi w:val="0"/>
              <w:spacing w:before="0" w:after="283"/>
              <w:jc w:val="left"/>
              <w:rPr/>
            </w:pPr>
            <w:r>
              <w:rPr/>
              <w:t>Other income (expense), net:</w:t>
            </w:r>
          </w:p>
        </w:tc>
        <w:tc>
          <w:tcPr>
            <w:tcW w:w="9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pPr>
            <w:r>
              <w:rPr/>
              <w:t> </w:t>
            </w:r>
          </w:p>
        </w:tc>
        <w:tc>
          <w:tcPr>
            <w:tcW w:w="161"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left"/>
              <w:rPr/>
            </w:pPr>
            <w:r>
              <w:rPr/>
              <w:t>Interest and investment income (expense)</w:t>
            </w:r>
          </w:p>
        </w:tc>
        <w:tc>
          <w:tcPr>
            <w:tcW w:w="9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015" w:type="dxa"/>
            <w:tcBorders/>
            <w:vAlign w:val="center"/>
          </w:tcPr>
          <w:p>
            <w:pPr>
              <w:pStyle w:val="TableContents"/>
              <w:bidi w:val="0"/>
              <w:spacing w:before="0" w:after="283"/>
              <w:jc w:val="right"/>
              <w:rPr/>
            </w:pPr>
            <w:r>
              <w:rPr/>
              <w:t>3,503</w:t>
            </w:r>
          </w:p>
        </w:tc>
        <w:tc>
          <w:tcPr>
            <w:tcW w:w="161"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015" w:type="dxa"/>
            <w:tcBorders/>
            <w:vAlign w:val="center"/>
          </w:tcPr>
          <w:p>
            <w:pPr>
              <w:pStyle w:val="TableContents"/>
              <w:bidi w:val="0"/>
              <w:spacing w:before="0" w:after="283"/>
              <w:jc w:val="right"/>
              <w:rPr/>
            </w:pPr>
            <w:r>
              <w:rPr/>
              <w:t>3,355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880" w:type="dxa"/>
            <w:tcBorders/>
            <w:vAlign w:val="center"/>
          </w:tcPr>
          <w:p>
            <w:pPr>
              <w:pStyle w:val="TableContents"/>
              <w:bidi w:val="0"/>
              <w:spacing w:before="0" w:after="283"/>
              <w:jc w:val="right"/>
              <w:rPr/>
            </w:pPr>
            <w:r>
              <w:rPr/>
              <w:t>148</w:t>
            </w:r>
          </w:p>
        </w:tc>
        <w:tc>
          <w:tcPr>
            <w:tcW w:w="170" w:type="dxa"/>
            <w:tcBorders/>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283"/>
              <w:jc w:val="left"/>
              <w:rPr/>
            </w:pPr>
            <w:r>
              <w:rPr/>
              <w:t>Other income (expense)</w:t>
            </w:r>
          </w:p>
        </w:tc>
        <w:tc>
          <w:tcPr>
            <w:tcW w:w="90" w:type="dxa"/>
            <w:tcBorders/>
            <w:shd w:fill="CCEEFF" w:val="clear"/>
            <w:vAlign w:val="center"/>
          </w:tcPr>
          <w:p>
            <w:pPr>
              <w:pStyle w:val="TableContents"/>
              <w:bidi w:val="0"/>
              <w:spacing w:before="0" w:after="283"/>
              <w:jc w:val="left"/>
              <w:rPr/>
            </w:pPr>
            <w:r>
              <w:rPr/>
              <w:t> </w:t>
            </w:r>
          </w:p>
        </w:tc>
        <w:tc>
          <w:tcPr>
            <w:tcW w:w="22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61"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2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5" w:type="dxa"/>
            <w:tcBorders>
              <w:bottom w:val="single" w:sz="12" w:space="0" w:color="000000"/>
            </w:tcBorders>
            <w:shd w:fill="CCEEFF" w:val="clear"/>
            <w:tcMar>
              <w:bottom w:w="28" w:type="dxa"/>
            </w:tcMar>
            <w:vAlign w:val="center"/>
          </w:tcPr>
          <w:p>
            <w:pPr>
              <w:pStyle w:val="TableContents"/>
              <w:bidi w:val="0"/>
              <w:spacing w:before="0" w:after="283"/>
              <w:jc w:val="right"/>
              <w:rPr/>
            </w:pPr>
            <w:r>
              <w:rPr/>
              <w:t>481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0" w:type="dxa"/>
            <w:tcBorders>
              <w:bottom w:val="single" w:sz="12" w:space="0" w:color="000000"/>
            </w:tcBorders>
            <w:shd w:fill="CCEEFF" w:val="clear"/>
            <w:tcMar>
              <w:bottom w:w="28" w:type="dxa"/>
            </w:tcMar>
            <w:vAlign w:val="center"/>
          </w:tcPr>
          <w:p>
            <w:pPr>
              <w:pStyle w:val="TableContents"/>
              <w:bidi w:val="0"/>
              <w:spacing w:before="0" w:after="283"/>
              <w:jc w:val="right"/>
              <w:rPr/>
            </w:pPr>
            <w:r>
              <w:rPr/>
              <w:t>(481</w:t>
            </w:r>
          </w:p>
        </w:tc>
        <w:tc>
          <w:tcPr>
            <w:tcW w:w="170" w:type="dxa"/>
            <w:tcBorders/>
            <w:shd w:fill="CCEEFF" w:val="clear"/>
            <w:vAlign w:val="center"/>
          </w:tcPr>
          <w:p>
            <w:pPr>
              <w:pStyle w:val="TableContents"/>
              <w:bidi w:val="0"/>
              <w:spacing w:before="0" w:after="283"/>
              <w:jc w:val="left"/>
              <w:rPr/>
            </w:pPr>
            <w:r>
              <w:rPr/>
              <w:t>)</w:t>
            </w:r>
          </w:p>
        </w:tc>
      </w:tr>
      <w:tr>
        <w:trPr/>
        <w:tc>
          <w:tcPr>
            <w:tcW w:w="3965" w:type="dxa"/>
            <w:tcBorders/>
            <w:vAlign w:val="center"/>
          </w:tcPr>
          <w:p>
            <w:pPr>
              <w:pStyle w:val="TableContents"/>
              <w:bidi w:val="0"/>
              <w:spacing w:before="0" w:after="283"/>
              <w:jc w:val="left"/>
              <w:rPr/>
            </w:pPr>
            <w:r>
              <w:rPr/>
              <w:t>Other income (expense), net</w:t>
            </w:r>
          </w:p>
        </w:tc>
        <w:tc>
          <w:tcPr>
            <w:tcW w:w="90" w:type="dxa"/>
            <w:tcBorders/>
            <w:vAlign w:val="center"/>
          </w:tcPr>
          <w:p>
            <w:pPr>
              <w:pStyle w:val="TableContents"/>
              <w:bidi w:val="0"/>
              <w:spacing w:before="0" w:after="283"/>
              <w:jc w:val="left"/>
              <w:rPr/>
            </w:pPr>
            <w:r>
              <w:rPr/>
              <w:t> </w:t>
            </w:r>
          </w:p>
        </w:tc>
        <w:tc>
          <w:tcPr>
            <w:tcW w:w="22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5" w:type="dxa"/>
            <w:tcBorders>
              <w:bottom w:val="single" w:sz="12" w:space="0" w:color="000000"/>
            </w:tcBorders>
            <w:tcMar>
              <w:bottom w:w="28" w:type="dxa"/>
            </w:tcMar>
            <w:vAlign w:val="center"/>
          </w:tcPr>
          <w:p>
            <w:pPr>
              <w:pStyle w:val="TableContents"/>
              <w:bidi w:val="0"/>
              <w:spacing w:before="0" w:after="283"/>
              <w:jc w:val="right"/>
              <w:rPr/>
            </w:pPr>
            <w:r>
              <w:rPr/>
              <w:t>3,503</w:t>
            </w:r>
          </w:p>
        </w:tc>
        <w:tc>
          <w:tcPr>
            <w:tcW w:w="161"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22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5" w:type="dxa"/>
            <w:tcBorders>
              <w:bottom w:val="single" w:sz="12" w:space="0" w:color="000000"/>
            </w:tcBorders>
            <w:tcMar>
              <w:bottom w:w="28" w:type="dxa"/>
            </w:tcMar>
            <w:vAlign w:val="center"/>
          </w:tcPr>
          <w:p>
            <w:pPr>
              <w:pStyle w:val="TableContents"/>
              <w:bidi w:val="0"/>
              <w:spacing w:before="0" w:after="283"/>
              <w:jc w:val="right"/>
              <w:rPr/>
            </w:pPr>
            <w:r>
              <w:rPr/>
              <w:t>3,836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0" w:type="dxa"/>
            <w:tcBorders>
              <w:bottom w:val="single" w:sz="12" w:space="0" w:color="000000"/>
            </w:tcBorders>
            <w:tcMar>
              <w:bottom w:w="28" w:type="dxa"/>
            </w:tcMar>
            <w:vAlign w:val="center"/>
          </w:tcPr>
          <w:p>
            <w:pPr>
              <w:pStyle w:val="TableContents"/>
              <w:bidi w:val="0"/>
              <w:spacing w:before="0" w:after="283"/>
              <w:jc w:val="left"/>
              <w:rPr/>
            </w:pPr>
            <w:r>
              <w:rPr/>
              <w:t> </w:t>
            </w:r>
          </w:p>
        </w:tc>
        <w:tc>
          <w:tcPr>
            <w:tcW w:w="880" w:type="dxa"/>
            <w:tcBorders>
              <w:bottom w:val="single" w:sz="12" w:space="0" w:color="000000"/>
            </w:tcBorders>
            <w:tcMar>
              <w:bottom w:w="28" w:type="dxa"/>
            </w:tcMar>
            <w:vAlign w:val="center"/>
          </w:tcPr>
          <w:p>
            <w:pPr>
              <w:pStyle w:val="TableContents"/>
              <w:bidi w:val="0"/>
              <w:spacing w:before="0" w:after="283"/>
              <w:jc w:val="right"/>
              <w:rPr/>
            </w:pPr>
            <w:r>
              <w:rPr/>
              <w:t>(333</w:t>
            </w:r>
          </w:p>
        </w:tc>
        <w:tc>
          <w:tcPr>
            <w:tcW w:w="170" w:type="dxa"/>
            <w:tcBorders/>
            <w:vAlign w:val="center"/>
          </w:tcPr>
          <w:p>
            <w:pPr>
              <w:pStyle w:val="TableContents"/>
              <w:bidi w:val="0"/>
              <w:spacing w:before="0" w:after="283"/>
              <w:jc w:val="left"/>
              <w:rPr/>
            </w:pPr>
            <w:r>
              <w:rPr/>
              <w:t>)</w:t>
            </w:r>
          </w:p>
        </w:tc>
      </w:tr>
      <w:tr>
        <w:trPr/>
        <w:tc>
          <w:tcPr>
            <w:tcW w:w="3965" w:type="dxa"/>
            <w:tcBorders/>
            <w:shd w:fill="CCEEFF" w:val="clear"/>
            <w:vAlign w:val="center"/>
          </w:tcPr>
          <w:p>
            <w:pPr>
              <w:pStyle w:val="TableContents"/>
              <w:bidi w:val="0"/>
              <w:spacing w:before="0" w:after="283"/>
              <w:jc w:val="left"/>
              <w:rPr/>
            </w:pPr>
            <w:r>
              <w:rPr/>
              <w:t>Net income (loss)</w:t>
            </w:r>
          </w:p>
        </w:tc>
        <w:tc>
          <w:tcPr>
            <w:tcW w:w="90" w:type="dxa"/>
            <w:tcBorders/>
            <w:shd w:fill="CCEEFF" w:val="clear"/>
            <w:vAlign w:val="center"/>
          </w:tcPr>
          <w:p>
            <w:pPr>
              <w:pStyle w:val="TableContents"/>
              <w:bidi w:val="0"/>
              <w:spacing w:before="0" w:after="283"/>
              <w:jc w:val="left"/>
              <w:rPr/>
            </w:pPr>
            <w:r>
              <w:rPr/>
              <w:t> </w:t>
            </w:r>
          </w:p>
        </w:tc>
        <w:tc>
          <w:tcPr>
            <w:tcW w:w="22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15" w:type="dxa"/>
            <w:tcBorders>
              <w:bottom w:val="double" w:sz="10" w:space="0" w:color="000000"/>
            </w:tcBorders>
            <w:shd w:fill="CCEEFF" w:val="clear"/>
            <w:tcMar>
              <w:bottom w:w="28" w:type="dxa"/>
            </w:tcMar>
            <w:vAlign w:val="center"/>
          </w:tcPr>
          <w:p>
            <w:pPr>
              <w:pStyle w:val="TableContents"/>
              <w:bidi w:val="0"/>
              <w:spacing w:before="0" w:after="283"/>
              <w:jc w:val="right"/>
              <w:rPr/>
            </w:pPr>
            <w:r>
              <w:rPr/>
              <w:t>(39,450</w:t>
            </w:r>
          </w:p>
        </w:tc>
        <w:tc>
          <w:tcPr>
            <w:tcW w:w="161" w:type="dxa"/>
            <w:tcBorders/>
            <w:shd w:fill="CCEEFF" w:val="clear"/>
            <w:vAlign w:val="center"/>
          </w:tcPr>
          <w:p>
            <w:pPr>
              <w:pStyle w:val="TableContents"/>
              <w:bidi w:val="0"/>
              <w:spacing w:before="0" w:after="283"/>
              <w:jc w:val="left"/>
              <w:rPr/>
            </w:pPr>
            <w:r>
              <w:rPr/>
              <w:t>)</w:t>
            </w:r>
          </w:p>
        </w:tc>
        <w:tc>
          <w:tcPr>
            <w:tcW w:w="116" w:type="dxa"/>
            <w:tcBorders/>
            <w:shd w:fill="CCEEFF" w:val="clear"/>
            <w:vAlign w:val="center"/>
          </w:tcPr>
          <w:p>
            <w:pPr>
              <w:pStyle w:val="TableContents"/>
              <w:bidi w:val="0"/>
              <w:spacing w:before="0" w:after="283"/>
              <w:jc w:val="left"/>
              <w:rPr/>
            </w:pPr>
            <w:r>
              <w:rPr/>
              <w:t> </w:t>
            </w:r>
          </w:p>
        </w:tc>
        <w:tc>
          <w:tcPr>
            <w:tcW w:w="22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15" w:type="dxa"/>
            <w:tcBorders>
              <w:bottom w:val="double" w:sz="10" w:space="0" w:color="000000"/>
            </w:tcBorders>
            <w:shd w:fill="CCEEFF" w:val="clear"/>
            <w:tcMar>
              <w:bottom w:w="28" w:type="dxa"/>
            </w:tcMar>
            <w:vAlign w:val="center"/>
          </w:tcPr>
          <w:p>
            <w:pPr>
              <w:pStyle w:val="TableContents"/>
              <w:bidi w:val="0"/>
              <w:spacing w:before="0" w:after="283"/>
              <w:jc w:val="right"/>
              <w:rPr/>
            </w:pPr>
            <w:r>
              <w:rPr/>
              <w:t>(26,874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9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80" w:type="dxa"/>
            <w:tcBorders>
              <w:bottom w:val="double" w:sz="10" w:space="0" w:color="000000"/>
            </w:tcBorders>
            <w:shd w:fill="CCEEFF" w:val="clear"/>
            <w:tcMar>
              <w:bottom w:w="28" w:type="dxa"/>
            </w:tcMar>
            <w:vAlign w:val="center"/>
          </w:tcPr>
          <w:p>
            <w:pPr>
              <w:pStyle w:val="TableContents"/>
              <w:bidi w:val="0"/>
              <w:spacing w:before="0" w:after="283"/>
              <w:jc w:val="right"/>
              <w:rPr/>
            </w:pPr>
            <w:r>
              <w:rPr/>
              <w:t>(12,576</w:t>
            </w:r>
          </w:p>
        </w:tc>
        <w:tc>
          <w:tcPr>
            <w:tcW w:w="17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Research and development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research and development expenses (in thousands):</w:t>
      </w:r>
    </w:p>
    <w:p>
      <w:pPr>
        <w:pStyle w:val="TextBody"/>
        <w:bidi w:val="0"/>
        <w:spacing w:before="0" w:after="0"/>
        <w:ind w:left="0" w:right="0" w:firstLine="360"/>
        <w:jc w:val="both"/>
        <w:rPr>
          <w:caps w:val="false"/>
          <w:smallCaps w:val="false"/>
        </w:rPr>
      </w:pPr>
      <w:r>
        <w:rPr>
          <w:caps w:val="false"/>
          <w:smallCaps w:val="false"/>
        </w:rPr>
        <w:t> </w:t>
      </w:r>
    </w:p>
    <w:tbl>
      <w:tblPr>
        <w:tblW w:w="8441" w:type="dxa"/>
        <w:jc w:val="left"/>
        <w:tblInd w:w="0" w:type="dxa"/>
        <w:tblLayout w:type="fixed"/>
        <w:tblCellMar>
          <w:top w:w="0" w:type="dxa"/>
          <w:left w:w="0" w:type="dxa"/>
          <w:bottom w:w="0" w:type="dxa"/>
          <w:right w:w="0" w:type="dxa"/>
        </w:tblCellMar>
      </w:tblPr>
      <w:tblGrid>
        <w:gridCol w:w="4220"/>
        <w:gridCol w:w="90"/>
        <w:gridCol w:w="240"/>
        <w:gridCol w:w="1006"/>
        <w:gridCol w:w="127"/>
        <w:gridCol w:w="127"/>
        <w:gridCol w:w="240"/>
        <w:gridCol w:w="1006"/>
        <w:gridCol w:w="90"/>
        <w:gridCol w:w="90"/>
        <w:gridCol w:w="206"/>
        <w:gridCol w:w="864"/>
        <w:gridCol w:w="135"/>
      </w:tblGrid>
      <w:tr>
        <w:trPr/>
        <w:tc>
          <w:tcPr>
            <w:tcW w:w="42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4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Six Months Ended</w:t>
              <w:br/>
              <w:t>June 30,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283"/>
              <w:jc w:val="center"/>
              <w:rPr>
                <w:b/>
              </w:rPr>
            </w:pPr>
            <w:r>
              <w:rPr>
                <w:b/>
              </w:rPr>
              <w:t>Period-to-</w:t>
              <w:br/>
              <w:t>Period</w:t>
            </w:r>
          </w:p>
        </w:tc>
        <w:tc>
          <w:tcPr>
            <w:tcW w:w="135" w:type="dxa"/>
            <w:tcBorders/>
            <w:vAlign w:val="center"/>
          </w:tcPr>
          <w:p>
            <w:pPr>
              <w:pStyle w:val="TableContents"/>
              <w:bidi w:val="0"/>
              <w:spacing w:before="0" w:after="283"/>
              <w:jc w:val="left"/>
              <w:rPr/>
            </w:pPr>
            <w:r>
              <w:rPr/>
              <w:t> </w:t>
            </w:r>
          </w:p>
        </w:tc>
      </w:tr>
      <w:tr>
        <w:trPr/>
        <w:tc>
          <w:tcPr>
            <w:tcW w:w="42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4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27"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124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135" w:type="dxa"/>
            <w:tcBorders/>
            <w:vAlign w:val="center"/>
          </w:tcPr>
          <w:p>
            <w:pPr>
              <w:pStyle w:val="TableContents"/>
              <w:bidi w:val="0"/>
              <w:spacing w:before="0" w:after="283"/>
              <w:jc w:val="left"/>
              <w:rPr/>
            </w:pPr>
            <w:r>
              <w:rPr/>
              <w:t> </w:t>
            </w:r>
          </w:p>
        </w:tc>
      </w:tr>
      <w:tr>
        <w:trPr/>
        <w:tc>
          <w:tcPr>
            <w:tcW w:w="4220" w:type="dxa"/>
            <w:tcBorders/>
            <w:vAlign w:val="center"/>
          </w:tcPr>
          <w:p>
            <w:pPr>
              <w:pStyle w:val="TableContents"/>
              <w:bidi w:val="0"/>
              <w:spacing w:before="0" w:after="283"/>
              <w:jc w:val="left"/>
              <w:rPr/>
            </w:pPr>
            <w:r>
              <w:rPr/>
              <w:t>Direct expenses by product candidate:</w:t>
            </w:r>
          </w:p>
        </w:tc>
        <w:tc>
          <w:tcPr>
            <w:tcW w:w="90" w:type="dxa"/>
            <w:tcBorders/>
            <w:vAlign w:val="center"/>
          </w:tcPr>
          <w:p>
            <w:pPr>
              <w:pStyle w:val="TableContents"/>
              <w:bidi w:val="0"/>
              <w:spacing w:before="0" w:after="283"/>
              <w:jc w:val="left"/>
              <w:rPr/>
            </w:pPr>
            <w:r>
              <w:rPr/>
              <w:t> </w:t>
            </w:r>
          </w:p>
        </w:tc>
        <w:tc>
          <w:tcPr>
            <w:tcW w:w="1246" w:type="dxa"/>
            <w:gridSpan w:val="2"/>
            <w:tcBorders/>
            <w:vAlign w:val="center"/>
          </w:tcPr>
          <w:p>
            <w:pPr>
              <w:pStyle w:val="TableContents"/>
              <w:bidi w:val="0"/>
              <w:spacing w:before="0" w:after="283"/>
              <w:jc w:val="right"/>
              <w:rPr/>
            </w:pPr>
            <w:r>
              <w:rPr/>
              <w:t> </w:t>
            </w:r>
          </w:p>
        </w:tc>
        <w:tc>
          <w:tcPr>
            <w:tcW w:w="127"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1246"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283"/>
              <w:jc w:val="left"/>
              <w:rPr/>
            </w:pPr>
            <w:r>
              <w:rPr/>
              <w:t>TARA-002 in NMIBC</w:t>
            </w:r>
          </w:p>
        </w:tc>
        <w:tc>
          <w:tcPr>
            <w:tcW w:w="9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w:t>
            </w:r>
          </w:p>
        </w:tc>
        <w:tc>
          <w:tcPr>
            <w:tcW w:w="1006" w:type="dxa"/>
            <w:tcBorders/>
            <w:shd w:fill="CCEEFF" w:val="clear"/>
            <w:vAlign w:val="center"/>
          </w:tcPr>
          <w:p>
            <w:pPr>
              <w:pStyle w:val="TableContents"/>
              <w:bidi w:val="0"/>
              <w:spacing w:before="0" w:after="283"/>
              <w:jc w:val="right"/>
              <w:rPr/>
            </w:pPr>
            <w:r>
              <w:rPr/>
              <w:t>12,686</w:t>
            </w:r>
          </w:p>
        </w:tc>
        <w:tc>
          <w:tcPr>
            <w:tcW w:w="127"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w:t>
            </w:r>
          </w:p>
        </w:tc>
        <w:tc>
          <w:tcPr>
            <w:tcW w:w="1006" w:type="dxa"/>
            <w:tcBorders/>
            <w:shd w:fill="CCEEFF" w:val="clear"/>
            <w:vAlign w:val="center"/>
          </w:tcPr>
          <w:p>
            <w:pPr>
              <w:pStyle w:val="TableContents"/>
              <w:bidi w:val="0"/>
              <w:spacing w:before="0" w:after="283"/>
              <w:jc w:val="right"/>
              <w:rPr/>
            </w:pPr>
            <w:r>
              <w:rPr/>
              <w:t>8,455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w:t>
            </w:r>
          </w:p>
        </w:tc>
        <w:tc>
          <w:tcPr>
            <w:tcW w:w="864" w:type="dxa"/>
            <w:tcBorders/>
            <w:shd w:fill="CCEEFF" w:val="clear"/>
            <w:vAlign w:val="center"/>
          </w:tcPr>
          <w:p>
            <w:pPr>
              <w:pStyle w:val="TableContents"/>
              <w:bidi w:val="0"/>
              <w:spacing w:before="0" w:after="283"/>
              <w:jc w:val="right"/>
              <w:rPr/>
            </w:pPr>
            <w:r>
              <w:rPr/>
              <w:t>4,231</w:t>
            </w:r>
          </w:p>
        </w:tc>
        <w:tc>
          <w:tcPr>
            <w:tcW w:w="135" w:type="dxa"/>
            <w:tcBorders/>
            <w:shd w:fill="CCEEFF" w:val="clear"/>
            <w:vAlign w:val="center"/>
          </w:tcPr>
          <w:p>
            <w:pPr>
              <w:pStyle w:val="TableContents"/>
              <w:bidi w:val="0"/>
              <w:spacing w:before="0" w:after="283"/>
              <w:jc w:val="left"/>
              <w:rPr/>
            </w:pPr>
            <w:r>
              <w:rPr/>
              <w:t> </w:t>
            </w:r>
          </w:p>
        </w:tc>
      </w:tr>
      <w:tr>
        <w:trPr/>
        <w:tc>
          <w:tcPr>
            <w:tcW w:w="4220" w:type="dxa"/>
            <w:tcBorders/>
            <w:vAlign w:val="center"/>
          </w:tcPr>
          <w:p>
            <w:pPr>
              <w:pStyle w:val="TableContents"/>
              <w:bidi w:val="0"/>
              <w:spacing w:before="0" w:after="283"/>
              <w:jc w:val="left"/>
              <w:rPr/>
            </w:pPr>
            <w:r>
              <w:rPr/>
              <w:t>TARA-002 in LMs</w:t>
            </w:r>
          </w:p>
        </w:tc>
        <w:tc>
          <w:tcPr>
            <w:tcW w:w="9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006" w:type="dxa"/>
            <w:tcBorders/>
            <w:vAlign w:val="center"/>
          </w:tcPr>
          <w:p>
            <w:pPr>
              <w:pStyle w:val="TableContents"/>
              <w:bidi w:val="0"/>
              <w:spacing w:before="0" w:after="283"/>
              <w:jc w:val="right"/>
              <w:rPr/>
            </w:pPr>
            <w:r>
              <w:rPr/>
              <w:t>1,660</w:t>
            </w:r>
          </w:p>
        </w:tc>
        <w:tc>
          <w:tcPr>
            <w:tcW w:w="127"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006" w:type="dxa"/>
            <w:tcBorders/>
            <w:vAlign w:val="center"/>
          </w:tcPr>
          <w:p>
            <w:pPr>
              <w:pStyle w:val="TableContents"/>
              <w:bidi w:val="0"/>
              <w:spacing w:before="0" w:after="283"/>
              <w:jc w:val="right"/>
              <w:rPr/>
            </w:pPr>
            <w:r>
              <w:rPr/>
              <w:t>1,027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864" w:type="dxa"/>
            <w:tcBorders/>
            <w:vAlign w:val="center"/>
          </w:tcPr>
          <w:p>
            <w:pPr>
              <w:pStyle w:val="TableContents"/>
              <w:bidi w:val="0"/>
              <w:spacing w:before="0" w:after="283"/>
              <w:jc w:val="right"/>
              <w:rPr/>
            </w:pPr>
            <w:r>
              <w:rPr/>
              <w:t>633</w:t>
            </w:r>
          </w:p>
        </w:tc>
        <w:tc>
          <w:tcPr>
            <w:tcW w:w="135" w:type="dxa"/>
            <w:tcBorders/>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283"/>
              <w:jc w:val="left"/>
              <w:rPr/>
            </w:pPr>
            <w:r>
              <w:rPr/>
              <w:t>IV Choline Chloride</w:t>
            </w:r>
          </w:p>
        </w:tc>
        <w:tc>
          <w:tcPr>
            <w:tcW w:w="90" w:type="dxa"/>
            <w:tcBorders/>
            <w:shd w:fill="CCEEFF" w:val="clear"/>
            <w:vAlign w:val="center"/>
          </w:tcPr>
          <w:p>
            <w:pPr>
              <w:pStyle w:val="TableContents"/>
              <w:bidi w:val="0"/>
              <w:spacing w:before="0" w:after="283"/>
              <w:jc w:val="left"/>
              <w:rPr/>
            </w:pPr>
            <w:r>
              <w:rPr/>
              <w:t> </w:t>
            </w:r>
          </w:p>
        </w:tc>
        <w:tc>
          <w:tcPr>
            <w:tcW w:w="2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6" w:type="dxa"/>
            <w:tcBorders>
              <w:bottom w:val="single" w:sz="12" w:space="0" w:color="000000"/>
            </w:tcBorders>
            <w:shd w:fill="CCEEFF" w:val="clear"/>
            <w:tcMar>
              <w:bottom w:w="28" w:type="dxa"/>
            </w:tcMar>
            <w:vAlign w:val="center"/>
          </w:tcPr>
          <w:p>
            <w:pPr>
              <w:pStyle w:val="TableContents"/>
              <w:bidi w:val="0"/>
              <w:spacing w:before="0" w:after="283"/>
              <w:jc w:val="right"/>
              <w:rPr/>
            </w:pPr>
            <w:r>
              <w:rPr/>
              <w:t>4,946</w:t>
            </w:r>
          </w:p>
        </w:tc>
        <w:tc>
          <w:tcPr>
            <w:tcW w:w="127"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2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6" w:type="dxa"/>
            <w:tcBorders>
              <w:bottom w:val="single" w:sz="12" w:space="0" w:color="000000"/>
            </w:tcBorders>
            <w:shd w:fill="CCEEFF" w:val="clear"/>
            <w:tcMar>
              <w:bottom w:w="28" w:type="dxa"/>
            </w:tcMar>
            <w:vAlign w:val="center"/>
          </w:tcPr>
          <w:p>
            <w:pPr>
              <w:pStyle w:val="TableContents"/>
              <w:bidi w:val="0"/>
              <w:spacing w:before="0" w:after="283"/>
              <w:jc w:val="right"/>
              <w:rPr/>
            </w:pPr>
            <w:r>
              <w:rPr/>
              <w:t>4,367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64" w:type="dxa"/>
            <w:tcBorders>
              <w:bottom w:val="single" w:sz="12" w:space="0" w:color="000000"/>
            </w:tcBorders>
            <w:shd w:fill="CCEEFF" w:val="clear"/>
            <w:tcMar>
              <w:bottom w:w="28" w:type="dxa"/>
            </w:tcMar>
            <w:vAlign w:val="center"/>
          </w:tcPr>
          <w:p>
            <w:pPr>
              <w:pStyle w:val="TableContents"/>
              <w:bidi w:val="0"/>
              <w:spacing w:before="0" w:after="283"/>
              <w:jc w:val="right"/>
              <w:rPr/>
            </w:pPr>
            <w:r>
              <w:rPr/>
              <w:t>579</w:t>
            </w:r>
          </w:p>
        </w:tc>
        <w:tc>
          <w:tcPr>
            <w:tcW w:w="135" w:type="dxa"/>
            <w:tcBorders/>
            <w:shd w:fill="CCEEFF" w:val="clear"/>
            <w:vAlign w:val="center"/>
          </w:tcPr>
          <w:p>
            <w:pPr>
              <w:pStyle w:val="TableContents"/>
              <w:bidi w:val="0"/>
              <w:spacing w:before="0" w:after="283"/>
              <w:jc w:val="left"/>
              <w:rPr/>
            </w:pPr>
            <w:r>
              <w:rPr/>
              <w:t> </w:t>
            </w:r>
          </w:p>
        </w:tc>
      </w:tr>
      <w:tr>
        <w:trPr/>
        <w:tc>
          <w:tcPr>
            <w:tcW w:w="4220" w:type="dxa"/>
            <w:tcBorders/>
            <w:vAlign w:val="center"/>
          </w:tcPr>
          <w:p>
            <w:pPr>
              <w:pStyle w:val="TableContents"/>
              <w:bidi w:val="0"/>
              <w:spacing w:before="0" w:after="283"/>
              <w:jc w:val="left"/>
              <w:rPr/>
            </w:pPr>
            <w:r>
              <w:rPr/>
              <w:t>Total direct expenses by product candidate</w:t>
            </w:r>
          </w:p>
        </w:tc>
        <w:tc>
          <w:tcPr>
            <w:tcW w:w="9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006" w:type="dxa"/>
            <w:tcBorders/>
            <w:vAlign w:val="center"/>
          </w:tcPr>
          <w:p>
            <w:pPr>
              <w:pStyle w:val="TableContents"/>
              <w:bidi w:val="0"/>
              <w:spacing w:before="0" w:after="283"/>
              <w:jc w:val="right"/>
              <w:rPr/>
            </w:pPr>
            <w:r>
              <w:rPr/>
              <w:t>19,292</w:t>
            </w:r>
          </w:p>
        </w:tc>
        <w:tc>
          <w:tcPr>
            <w:tcW w:w="127"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006" w:type="dxa"/>
            <w:tcBorders/>
            <w:vAlign w:val="center"/>
          </w:tcPr>
          <w:p>
            <w:pPr>
              <w:pStyle w:val="TableContents"/>
              <w:bidi w:val="0"/>
              <w:spacing w:before="0" w:after="283"/>
              <w:jc w:val="right"/>
              <w:rPr/>
            </w:pPr>
            <w:r>
              <w:rPr/>
              <w:t>13,849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864" w:type="dxa"/>
            <w:tcBorders/>
            <w:vAlign w:val="center"/>
          </w:tcPr>
          <w:p>
            <w:pPr>
              <w:pStyle w:val="TableContents"/>
              <w:bidi w:val="0"/>
              <w:spacing w:before="0" w:after="283"/>
              <w:jc w:val="right"/>
              <w:rPr/>
            </w:pPr>
            <w:r>
              <w:rPr/>
              <w:t>5,443</w:t>
            </w:r>
          </w:p>
        </w:tc>
        <w:tc>
          <w:tcPr>
            <w:tcW w:w="135" w:type="dxa"/>
            <w:tcBorders/>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283"/>
              <w:jc w:val="left"/>
              <w:rPr/>
            </w:pPr>
            <w:r>
              <w:rPr/>
              <w:t>Indirect research and development expenses</w:t>
            </w:r>
          </w:p>
        </w:tc>
        <w:tc>
          <w:tcPr>
            <w:tcW w:w="90" w:type="dxa"/>
            <w:tcBorders/>
            <w:shd w:fill="CCEEFF" w:val="clear"/>
            <w:vAlign w:val="center"/>
          </w:tcPr>
          <w:p>
            <w:pPr>
              <w:pStyle w:val="TableContents"/>
              <w:bidi w:val="0"/>
              <w:spacing w:before="0" w:after="283"/>
              <w:jc w:val="left"/>
              <w:rPr/>
            </w:pPr>
            <w:r>
              <w:rPr/>
              <w:t> </w:t>
            </w:r>
          </w:p>
        </w:tc>
        <w:tc>
          <w:tcPr>
            <w:tcW w:w="2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6" w:type="dxa"/>
            <w:tcBorders>
              <w:bottom w:val="single" w:sz="12" w:space="0" w:color="000000"/>
            </w:tcBorders>
            <w:shd w:fill="CCEEFF" w:val="clear"/>
            <w:tcMar>
              <w:bottom w:w="28" w:type="dxa"/>
            </w:tcMar>
            <w:vAlign w:val="center"/>
          </w:tcPr>
          <w:p>
            <w:pPr>
              <w:pStyle w:val="TableContents"/>
              <w:bidi w:val="0"/>
              <w:spacing w:before="0" w:after="283"/>
              <w:jc w:val="right"/>
              <w:rPr/>
            </w:pPr>
            <w:r>
              <w:rPr/>
              <w:t>11,225</w:t>
            </w:r>
          </w:p>
        </w:tc>
        <w:tc>
          <w:tcPr>
            <w:tcW w:w="127"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2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6" w:type="dxa"/>
            <w:tcBorders>
              <w:bottom w:val="single" w:sz="12" w:space="0" w:color="000000"/>
            </w:tcBorders>
            <w:shd w:fill="CCEEFF" w:val="clear"/>
            <w:tcMar>
              <w:bottom w:w="28" w:type="dxa"/>
            </w:tcMar>
            <w:vAlign w:val="center"/>
          </w:tcPr>
          <w:p>
            <w:pPr>
              <w:pStyle w:val="TableContents"/>
              <w:bidi w:val="0"/>
              <w:spacing w:before="0" w:after="283"/>
              <w:jc w:val="right"/>
              <w:rPr/>
            </w:pPr>
            <w:r>
              <w:rPr/>
              <w:t>6,069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64" w:type="dxa"/>
            <w:tcBorders>
              <w:bottom w:val="single" w:sz="12" w:space="0" w:color="000000"/>
            </w:tcBorders>
            <w:shd w:fill="CCEEFF" w:val="clear"/>
            <w:tcMar>
              <w:bottom w:w="28" w:type="dxa"/>
            </w:tcMar>
            <w:vAlign w:val="center"/>
          </w:tcPr>
          <w:p>
            <w:pPr>
              <w:pStyle w:val="TableContents"/>
              <w:bidi w:val="0"/>
              <w:spacing w:before="0" w:after="283"/>
              <w:jc w:val="right"/>
              <w:rPr/>
            </w:pPr>
            <w:r>
              <w:rPr/>
              <w:t>5,156</w:t>
            </w:r>
          </w:p>
        </w:tc>
        <w:tc>
          <w:tcPr>
            <w:tcW w:w="135" w:type="dxa"/>
            <w:tcBorders/>
            <w:shd w:fill="CCEEFF" w:val="clear"/>
            <w:vAlign w:val="center"/>
          </w:tcPr>
          <w:p>
            <w:pPr>
              <w:pStyle w:val="TableContents"/>
              <w:bidi w:val="0"/>
              <w:spacing w:before="0" w:after="283"/>
              <w:jc w:val="left"/>
              <w:rPr/>
            </w:pPr>
            <w:r>
              <w:rPr/>
              <w:t> </w:t>
            </w:r>
          </w:p>
        </w:tc>
      </w:tr>
      <w:tr>
        <w:trPr/>
        <w:tc>
          <w:tcPr>
            <w:tcW w:w="4220" w:type="dxa"/>
            <w:tcBorders/>
            <w:vAlign w:val="center"/>
          </w:tcPr>
          <w:p>
            <w:pPr>
              <w:pStyle w:val="TableContents"/>
              <w:bidi w:val="0"/>
              <w:spacing w:before="0" w:after="283"/>
              <w:jc w:val="left"/>
              <w:rPr/>
            </w:pPr>
            <w:r>
              <w:rPr/>
              <w:t>Total</w:t>
            </w:r>
          </w:p>
        </w:tc>
        <w:tc>
          <w:tcPr>
            <w:tcW w:w="90" w:type="dxa"/>
            <w:tcBorders/>
            <w:vAlign w:val="center"/>
          </w:tcPr>
          <w:p>
            <w:pPr>
              <w:pStyle w:val="TableContents"/>
              <w:bidi w:val="0"/>
              <w:spacing w:before="0" w:after="283"/>
              <w:jc w:val="left"/>
              <w:rPr/>
            </w:pPr>
            <w:r>
              <w:rPr/>
              <w:t> </w:t>
            </w:r>
          </w:p>
        </w:tc>
        <w:tc>
          <w:tcPr>
            <w:tcW w:w="240" w:type="dxa"/>
            <w:tcBorders>
              <w:bottom w:val="double" w:sz="10" w:space="0" w:color="000000"/>
            </w:tcBorders>
            <w:tcMar>
              <w:bottom w:w="28" w:type="dxa"/>
            </w:tcMar>
            <w:vAlign w:val="center"/>
          </w:tcPr>
          <w:p>
            <w:pPr>
              <w:pStyle w:val="TableContents"/>
              <w:bidi w:val="0"/>
              <w:spacing w:before="0" w:after="283"/>
              <w:jc w:val="left"/>
              <w:rPr/>
            </w:pPr>
            <w:r>
              <w:rPr/>
              <w:t>$</w:t>
            </w:r>
          </w:p>
        </w:tc>
        <w:tc>
          <w:tcPr>
            <w:tcW w:w="1006" w:type="dxa"/>
            <w:tcBorders>
              <w:bottom w:val="double" w:sz="10" w:space="0" w:color="000000"/>
            </w:tcBorders>
            <w:tcMar>
              <w:bottom w:w="28" w:type="dxa"/>
            </w:tcMar>
            <w:vAlign w:val="center"/>
          </w:tcPr>
          <w:p>
            <w:pPr>
              <w:pStyle w:val="TableContents"/>
              <w:bidi w:val="0"/>
              <w:spacing w:before="0" w:after="283"/>
              <w:jc w:val="right"/>
              <w:rPr/>
            </w:pPr>
            <w:r>
              <w:rPr/>
              <w:t>30,517</w:t>
            </w:r>
          </w:p>
        </w:tc>
        <w:tc>
          <w:tcPr>
            <w:tcW w:w="127"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240" w:type="dxa"/>
            <w:tcBorders>
              <w:bottom w:val="double" w:sz="10" w:space="0" w:color="000000"/>
            </w:tcBorders>
            <w:tcMar>
              <w:bottom w:w="28" w:type="dxa"/>
            </w:tcMar>
            <w:vAlign w:val="center"/>
          </w:tcPr>
          <w:p>
            <w:pPr>
              <w:pStyle w:val="TableContents"/>
              <w:bidi w:val="0"/>
              <w:spacing w:before="0" w:after="283"/>
              <w:jc w:val="left"/>
              <w:rPr/>
            </w:pPr>
            <w:r>
              <w:rPr/>
              <w:t>$</w:t>
            </w:r>
          </w:p>
        </w:tc>
        <w:tc>
          <w:tcPr>
            <w:tcW w:w="1006" w:type="dxa"/>
            <w:tcBorders>
              <w:bottom w:val="double" w:sz="10" w:space="0" w:color="000000"/>
            </w:tcBorders>
            <w:tcMar>
              <w:bottom w:w="28" w:type="dxa"/>
            </w:tcMar>
            <w:vAlign w:val="center"/>
          </w:tcPr>
          <w:p>
            <w:pPr>
              <w:pStyle w:val="TableContents"/>
              <w:bidi w:val="0"/>
              <w:spacing w:before="0" w:after="283"/>
              <w:jc w:val="right"/>
              <w:rPr/>
            </w:pPr>
            <w:r>
              <w:rPr/>
              <w:t>19,918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6" w:type="dxa"/>
            <w:tcBorders>
              <w:bottom w:val="double" w:sz="10" w:space="0" w:color="000000"/>
            </w:tcBorders>
            <w:tcMar>
              <w:bottom w:w="28" w:type="dxa"/>
            </w:tcMar>
            <w:vAlign w:val="center"/>
          </w:tcPr>
          <w:p>
            <w:pPr>
              <w:pStyle w:val="TableContents"/>
              <w:bidi w:val="0"/>
              <w:spacing w:before="0" w:after="283"/>
              <w:jc w:val="left"/>
              <w:rPr/>
            </w:pPr>
            <w:r>
              <w:rPr/>
              <w:t>$</w:t>
            </w:r>
          </w:p>
        </w:tc>
        <w:tc>
          <w:tcPr>
            <w:tcW w:w="864" w:type="dxa"/>
            <w:tcBorders>
              <w:bottom w:val="double" w:sz="10" w:space="0" w:color="000000"/>
            </w:tcBorders>
            <w:tcMar>
              <w:bottom w:w="28" w:type="dxa"/>
            </w:tcMar>
            <w:vAlign w:val="center"/>
          </w:tcPr>
          <w:p>
            <w:pPr>
              <w:pStyle w:val="TableContents"/>
              <w:bidi w:val="0"/>
              <w:spacing w:before="0" w:after="283"/>
              <w:jc w:val="right"/>
              <w:rPr/>
            </w:pPr>
            <w:r>
              <w:rPr/>
              <w:t>10,599</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were $30.5 million for the six months ended June 30, 2026, which represented an increase of approximately $10.6 million as compared to the six months ended June 30, 2025. This increase was primarily due to a $5.4 million increase in direct expenses for our product candidates and a $5.2 million increase in indirect expenses. The increase in direct expenses was primarily due to higher ongoing costs associated with all of our ongoing clinical trials. The increase in indirect expenses was primarily due to a $3.3 million increase in personnel-related expenses and a $1.8 million increase in research and development expenses not directly attributable to one specific product candidate, which were primarily attributable to CMC related activities.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general and administrative expenses (in thousands):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10"/>
        <w:gridCol w:w="90"/>
        <w:gridCol w:w="237"/>
        <w:gridCol w:w="996"/>
        <w:gridCol w:w="125"/>
        <w:gridCol w:w="125"/>
        <w:gridCol w:w="237"/>
        <w:gridCol w:w="996"/>
        <w:gridCol w:w="90"/>
        <w:gridCol w:w="90"/>
        <w:gridCol w:w="239"/>
        <w:gridCol w:w="831"/>
        <w:gridCol w:w="139"/>
      </w:tblGrid>
      <w:tr>
        <w:trPr/>
        <w:tc>
          <w:tcPr>
            <w:tcW w:w="60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1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Six Months Ended</w:t>
              <w:br/>
              <w:t>June 30,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283"/>
              <w:jc w:val="center"/>
              <w:rPr>
                <w:b/>
              </w:rPr>
            </w:pPr>
            <w:r>
              <w:rPr>
                <w:b/>
              </w:rPr>
              <w:t>Period-to-</w:t>
              <w:br/>
              <w:t>Period</w:t>
            </w:r>
          </w:p>
        </w:tc>
        <w:tc>
          <w:tcPr>
            <w:tcW w:w="139" w:type="dxa"/>
            <w:tcBorders/>
            <w:vAlign w:val="center"/>
          </w:tcPr>
          <w:p>
            <w:pPr>
              <w:pStyle w:val="TableContents"/>
              <w:bidi w:val="0"/>
              <w:spacing w:before="0" w:after="283"/>
              <w:jc w:val="left"/>
              <w:rPr/>
            </w:pPr>
            <w:r>
              <w:rPr/>
              <w:t> </w:t>
            </w:r>
          </w:p>
        </w:tc>
      </w:tr>
      <w:tr>
        <w:trPr/>
        <w:tc>
          <w:tcPr>
            <w:tcW w:w="60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3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2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23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139" w:type="dxa"/>
            <w:tcBorders/>
            <w:vAlign w:val="center"/>
          </w:tcPr>
          <w:p>
            <w:pPr>
              <w:pStyle w:val="TableContents"/>
              <w:bidi w:val="0"/>
              <w:spacing w:before="0" w:after="283"/>
              <w:ind w:left="0" w:right="0" w:hanging="180"/>
              <w:jc w:val="left"/>
              <w:rPr/>
            </w:pPr>
            <w:r>
              <w:rPr/>
              <w:t> </w:t>
            </w:r>
          </w:p>
        </w:tc>
      </w:tr>
      <w:tr>
        <w:trPr/>
        <w:tc>
          <w:tcPr>
            <w:tcW w:w="6010" w:type="dxa"/>
            <w:tcBorders/>
            <w:shd w:fill="CCEEFF" w:val="clear"/>
            <w:vAlign w:val="center"/>
          </w:tcPr>
          <w:p>
            <w:pPr>
              <w:pStyle w:val="TableContents"/>
              <w:bidi w:val="0"/>
              <w:spacing w:before="0" w:after="283"/>
              <w:jc w:val="left"/>
              <w:rPr/>
            </w:pPr>
            <w:r>
              <w:rPr/>
              <w:t>Personnel-related expenses, including stock-based compensation</w:t>
            </w:r>
          </w:p>
        </w:tc>
        <w:tc>
          <w:tcPr>
            <w:tcW w:w="9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w:t>
            </w:r>
          </w:p>
        </w:tc>
        <w:tc>
          <w:tcPr>
            <w:tcW w:w="996" w:type="dxa"/>
            <w:tcBorders/>
            <w:shd w:fill="CCEEFF" w:val="clear"/>
            <w:vAlign w:val="center"/>
          </w:tcPr>
          <w:p>
            <w:pPr>
              <w:pStyle w:val="TableContents"/>
              <w:bidi w:val="0"/>
              <w:spacing w:before="0" w:after="283"/>
              <w:jc w:val="right"/>
              <w:rPr/>
            </w:pPr>
            <w:r>
              <w:rPr/>
              <w:t>6,818</w:t>
            </w:r>
          </w:p>
        </w:tc>
        <w:tc>
          <w:tcPr>
            <w:tcW w:w="125"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w:t>
            </w:r>
          </w:p>
        </w:tc>
        <w:tc>
          <w:tcPr>
            <w:tcW w:w="996" w:type="dxa"/>
            <w:tcBorders/>
            <w:shd w:fill="CCEEFF" w:val="clear"/>
            <w:vAlign w:val="center"/>
          </w:tcPr>
          <w:p>
            <w:pPr>
              <w:pStyle w:val="TableContents"/>
              <w:bidi w:val="0"/>
              <w:spacing w:before="0" w:after="283"/>
              <w:jc w:val="right"/>
              <w:rPr/>
            </w:pPr>
            <w:r>
              <w:rPr/>
              <w:t>5,250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w:t>
            </w:r>
          </w:p>
        </w:tc>
        <w:tc>
          <w:tcPr>
            <w:tcW w:w="831" w:type="dxa"/>
            <w:tcBorders/>
            <w:shd w:fill="CCEEFF" w:val="clear"/>
            <w:vAlign w:val="center"/>
          </w:tcPr>
          <w:p>
            <w:pPr>
              <w:pStyle w:val="TableContents"/>
              <w:bidi w:val="0"/>
              <w:spacing w:before="0" w:after="283"/>
              <w:jc w:val="right"/>
              <w:rPr/>
            </w:pPr>
            <w:r>
              <w:rPr/>
              <w:t>1,568</w:t>
            </w:r>
          </w:p>
        </w:tc>
        <w:tc>
          <w:tcPr>
            <w:tcW w:w="139" w:type="dxa"/>
            <w:tcBorders/>
            <w:shd w:fill="CCEEFF" w:val="clear"/>
            <w:vAlign w:val="center"/>
          </w:tcPr>
          <w:p>
            <w:pPr>
              <w:pStyle w:val="TableContents"/>
              <w:bidi w:val="0"/>
              <w:spacing w:before="0" w:after="283"/>
              <w:jc w:val="left"/>
              <w:rPr/>
            </w:pPr>
            <w:r>
              <w:rPr/>
              <w:t> </w:t>
            </w:r>
          </w:p>
        </w:tc>
      </w:tr>
      <w:tr>
        <w:trPr/>
        <w:tc>
          <w:tcPr>
            <w:tcW w:w="6010" w:type="dxa"/>
            <w:tcBorders/>
            <w:vAlign w:val="center"/>
          </w:tcPr>
          <w:p>
            <w:pPr>
              <w:pStyle w:val="TableContents"/>
              <w:bidi w:val="0"/>
              <w:spacing w:before="0" w:after="283"/>
              <w:jc w:val="left"/>
              <w:rPr/>
            </w:pPr>
            <w:r>
              <w:rPr/>
              <w:t>Other general and administrative expenses</w:t>
            </w:r>
          </w:p>
        </w:tc>
        <w:tc>
          <w:tcPr>
            <w:tcW w:w="90" w:type="dxa"/>
            <w:tcBorders/>
            <w:vAlign w:val="center"/>
          </w:tcPr>
          <w:p>
            <w:pPr>
              <w:pStyle w:val="TableContents"/>
              <w:bidi w:val="0"/>
              <w:spacing w:before="0" w:after="283"/>
              <w:jc w:val="left"/>
              <w:rPr/>
            </w:pPr>
            <w:r>
              <w:rPr/>
              <w:t> </w:t>
            </w:r>
          </w:p>
        </w:tc>
        <w:tc>
          <w:tcPr>
            <w:tcW w:w="237" w:type="dxa"/>
            <w:tcBorders>
              <w:bottom w:val="single" w:sz="12" w:space="0" w:color="000000"/>
            </w:tcBorders>
            <w:tcMar>
              <w:bottom w:w="28" w:type="dxa"/>
            </w:tcMar>
            <w:vAlign w:val="center"/>
          </w:tcPr>
          <w:p>
            <w:pPr>
              <w:pStyle w:val="TableContents"/>
              <w:bidi w:val="0"/>
              <w:spacing w:before="0" w:after="283"/>
              <w:jc w:val="left"/>
              <w:rPr/>
            </w:pPr>
            <w:r>
              <w:rPr/>
              <w:t> </w:t>
            </w:r>
          </w:p>
        </w:tc>
        <w:tc>
          <w:tcPr>
            <w:tcW w:w="996" w:type="dxa"/>
            <w:tcBorders>
              <w:bottom w:val="single" w:sz="12" w:space="0" w:color="000000"/>
            </w:tcBorders>
            <w:tcMar>
              <w:bottom w:w="28" w:type="dxa"/>
            </w:tcMar>
            <w:vAlign w:val="center"/>
          </w:tcPr>
          <w:p>
            <w:pPr>
              <w:pStyle w:val="TableContents"/>
              <w:bidi w:val="0"/>
              <w:spacing w:before="0" w:after="283"/>
              <w:jc w:val="right"/>
              <w:rPr/>
            </w:pPr>
            <w:r>
              <w:rPr/>
              <w:t>5,618</w:t>
            </w:r>
          </w:p>
        </w:tc>
        <w:tc>
          <w:tcPr>
            <w:tcW w:w="12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237" w:type="dxa"/>
            <w:tcBorders>
              <w:bottom w:val="single" w:sz="12" w:space="0" w:color="000000"/>
            </w:tcBorders>
            <w:tcMar>
              <w:bottom w:w="28" w:type="dxa"/>
            </w:tcMar>
            <w:vAlign w:val="center"/>
          </w:tcPr>
          <w:p>
            <w:pPr>
              <w:pStyle w:val="TableContents"/>
              <w:bidi w:val="0"/>
              <w:spacing w:before="0" w:after="283"/>
              <w:jc w:val="left"/>
              <w:rPr/>
            </w:pPr>
            <w:r>
              <w:rPr/>
              <w:t> </w:t>
            </w:r>
          </w:p>
        </w:tc>
        <w:tc>
          <w:tcPr>
            <w:tcW w:w="996" w:type="dxa"/>
            <w:tcBorders>
              <w:bottom w:val="single" w:sz="12" w:space="0" w:color="000000"/>
            </w:tcBorders>
            <w:tcMar>
              <w:bottom w:w="28" w:type="dxa"/>
            </w:tcMar>
            <w:vAlign w:val="center"/>
          </w:tcPr>
          <w:p>
            <w:pPr>
              <w:pStyle w:val="TableContents"/>
              <w:bidi w:val="0"/>
              <w:spacing w:before="0" w:after="283"/>
              <w:jc w:val="right"/>
              <w:rPr/>
            </w:pPr>
            <w:r>
              <w:rPr/>
              <w:t>5,542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9" w:type="dxa"/>
            <w:tcBorders>
              <w:bottom w:val="single" w:sz="12" w:space="0" w:color="000000"/>
            </w:tcBorders>
            <w:tcMar>
              <w:bottom w:w="28" w:type="dxa"/>
            </w:tcMar>
            <w:vAlign w:val="center"/>
          </w:tcPr>
          <w:p>
            <w:pPr>
              <w:pStyle w:val="TableContents"/>
              <w:bidi w:val="0"/>
              <w:spacing w:before="0" w:after="283"/>
              <w:jc w:val="left"/>
              <w:rPr/>
            </w:pPr>
            <w:r>
              <w:rPr/>
              <w:t> </w:t>
            </w:r>
          </w:p>
        </w:tc>
        <w:tc>
          <w:tcPr>
            <w:tcW w:w="831" w:type="dxa"/>
            <w:tcBorders>
              <w:bottom w:val="single" w:sz="12" w:space="0" w:color="000000"/>
            </w:tcBorders>
            <w:tcMar>
              <w:bottom w:w="28" w:type="dxa"/>
            </w:tcMar>
            <w:vAlign w:val="center"/>
          </w:tcPr>
          <w:p>
            <w:pPr>
              <w:pStyle w:val="TableContents"/>
              <w:bidi w:val="0"/>
              <w:spacing w:before="0" w:after="283"/>
              <w:jc w:val="right"/>
              <w:rPr/>
            </w:pPr>
            <w:r>
              <w:rPr/>
              <w:t>76</w:t>
            </w:r>
          </w:p>
        </w:tc>
        <w:tc>
          <w:tcPr>
            <w:tcW w:w="139" w:type="dxa"/>
            <w:tcBorders/>
            <w:vAlign w:val="center"/>
          </w:tcPr>
          <w:p>
            <w:pPr>
              <w:pStyle w:val="TableContents"/>
              <w:bidi w:val="0"/>
              <w:spacing w:before="0" w:after="283"/>
              <w:jc w:val="left"/>
              <w:rPr/>
            </w:pPr>
            <w:r>
              <w:rPr/>
              <w:t> </w:t>
            </w:r>
          </w:p>
        </w:tc>
      </w:tr>
      <w:tr>
        <w:trPr/>
        <w:tc>
          <w:tcPr>
            <w:tcW w:w="6010" w:type="dxa"/>
            <w:tcBorders/>
            <w:shd w:fill="CCEEFF" w:val="clear"/>
            <w:vAlign w:val="center"/>
          </w:tcPr>
          <w:p>
            <w:pPr>
              <w:pStyle w:val="TableContents"/>
              <w:bidi w:val="0"/>
              <w:spacing w:before="0" w:after="283"/>
              <w:jc w:val="left"/>
              <w:rPr/>
            </w:pPr>
            <w:r>
              <w:rPr/>
              <w:t>Total</w:t>
            </w:r>
          </w:p>
        </w:tc>
        <w:tc>
          <w:tcPr>
            <w:tcW w:w="90" w:type="dxa"/>
            <w:tcBorders/>
            <w:shd w:fill="CCEEFF" w:val="clear"/>
            <w:vAlign w:val="center"/>
          </w:tcPr>
          <w:p>
            <w:pPr>
              <w:pStyle w:val="TableContents"/>
              <w:bidi w:val="0"/>
              <w:spacing w:before="0" w:after="283"/>
              <w:jc w:val="left"/>
              <w:rPr/>
            </w:pPr>
            <w:r>
              <w:rPr/>
              <w:t> </w:t>
            </w:r>
          </w:p>
        </w:tc>
        <w:tc>
          <w:tcPr>
            <w:tcW w:w="23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96" w:type="dxa"/>
            <w:tcBorders>
              <w:bottom w:val="double" w:sz="10" w:space="0" w:color="000000"/>
            </w:tcBorders>
            <w:shd w:fill="CCEEFF" w:val="clear"/>
            <w:tcMar>
              <w:bottom w:w="28" w:type="dxa"/>
            </w:tcMar>
            <w:vAlign w:val="center"/>
          </w:tcPr>
          <w:p>
            <w:pPr>
              <w:pStyle w:val="TableContents"/>
              <w:bidi w:val="0"/>
              <w:spacing w:before="0" w:after="283"/>
              <w:jc w:val="right"/>
              <w:rPr/>
            </w:pPr>
            <w:r>
              <w:rPr/>
              <w:t>12,436</w:t>
            </w:r>
          </w:p>
        </w:tc>
        <w:tc>
          <w:tcPr>
            <w:tcW w:w="125"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23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96" w:type="dxa"/>
            <w:tcBorders>
              <w:bottom w:val="double" w:sz="10" w:space="0" w:color="000000"/>
            </w:tcBorders>
            <w:shd w:fill="CCEEFF" w:val="clear"/>
            <w:tcMar>
              <w:bottom w:w="28" w:type="dxa"/>
            </w:tcMar>
            <w:vAlign w:val="center"/>
          </w:tcPr>
          <w:p>
            <w:pPr>
              <w:pStyle w:val="TableContents"/>
              <w:bidi w:val="0"/>
              <w:spacing w:before="0" w:after="283"/>
              <w:jc w:val="right"/>
              <w:rPr/>
            </w:pPr>
            <w:r>
              <w:rPr/>
              <w:t>10,792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31" w:type="dxa"/>
            <w:tcBorders>
              <w:bottom w:val="double" w:sz="10" w:space="0" w:color="000000"/>
            </w:tcBorders>
            <w:shd w:fill="CCEEFF" w:val="clear"/>
            <w:tcMar>
              <w:bottom w:w="28" w:type="dxa"/>
            </w:tcMar>
            <w:vAlign w:val="center"/>
          </w:tcPr>
          <w:p>
            <w:pPr>
              <w:pStyle w:val="TableContents"/>
              <w:bidi w:val="0"/>
              <w:spacing w:before="0" w:after="283"/>
              <w:jc w:val="right"/>
              <w:rPr/>
            </w:pPr>
            <w:r>
              <w:rPr/>
              <w:t>1,644</w:t>
            </w:r>
          </w:p>
        </w:tc>
        <w:tc>
          <w:tcPr>
            <w:tcW w:w="139"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were $12.4 million for the six months ended June 30, 2026, which represented an increase of approximately $1.6 million as compared to the six months ended June 30, 2025. This increase was primarily due to an increase of $1.6 million in personnel-related expenses, as well as an increase of $0.1 million in other general and administrative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income (expense), net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(expense), net was $3.5 million for the six months ended June 30, 2026, which represented a decrease of approximately $0.3 million as compared to the six months ended June 30, 2025. The decrease was driven by a $0.5 million decrease in other income (expense) due to nonrecurring refundable tax credits received in the six months ended June 30, 2025, offset by a $0.2 million increase in interest and investment income in the six months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Overview</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December 31, 2025, our unrestricted cash and cash equivalents, and marketable debt securities were $161.9 million and $197.9 million, respectively. We have not generated revenues since our inception and have incurred net losses of $39.5 million and $26.9 million for the six months ended June 30, 2026 and 2025, respectively and $21.7 million and $15.0 million for the three months ended June 30, 2026 and 2025, respectively. As of June 30, 2026, we had working capital of $132.8 million and stockholder’s equity of $161.3 million. During the six months ended June 30, 2026, net cash flows used in operating activities were $36.7 million, consisting primarily of a net loss of $39.5 million and cash used for changes in operating assets and liabilities of $0.4 million. These uses of cash were offset by non-cash expenses of approximately $3.1 million. Since inception, we have met our liquidity requirements principally through the sale of our common stock, preferred stock and pre-funded warrants in private placements and public offerings.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3, 2023, we filed a shelf registration statement on Form S-3, or the Shelf Registration Statement, which became effective in November 2023. The Shelf Registration Statement permits the offering, issuance and sale by us of up to a maximum aggregate offering price of $300.0 million of common stock, preferred stock, debt securities and warrants in one or more offerings and in any combination. In December 2024, we sold and issued approximately $102.8 million in gross proceeds of common stock and pre-funded warrants in a public offering under the Shelf Registration Statement. The net proceeds were approximately $95.9 million. In December 2025, we sold and issued approximately $86.3 million in gross proceeds of common stock in a public offering under the Shelf Registration Statement. The net proceeds were approximately $80.4 million. The remaining unsold securities under this shelf were rolled into a new shelf filed in May 2026 as described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14, 2026, we filed a shelf registration statement on Form S-3, or the 2026 Shelf Registration Statement, which became effective in May 2026. The 2026 Shelf Registration Statement permits the offering, issuance and sale by us of up to a maximum aggregate offering price of $300.0 million in common stock, preferred stock, debt securities and warrants in one or more offerings and in any combination. In May 2026, we entered into a sales agreement with TD Securities (USA) LLC, as sales agent, pursuant to which we may offer and sell, from time to time, shares of the Company’s common stock having an aggregate offering price of up to $100.0 million, or the ATM Program. As of June 30, 2026, no shares have been sold under the ATM Program.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April 2024 Private Placement, purchasers were offered common warrants. Through June 29, 2026, common warrants exercised resulted in $5.7 million in proceeds. The remaining unexercised common warrants expired on June 29,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 the business of developing biopharmaceuticals and have no current or near-term revenues. We have incurred substantial clinical and other costs in our drug development efforts. We will need to raise additional capital in order to fully realize management’s plans.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our current financial resources are sufficient to satisfy our estimated liquidity needs for at least 12 months from the date of issuance of our condensed consolidated financial statements included elsewhere in this Quarterly Report on this Form 10-Q.</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volatility in the capital markets, economic conditions, general global economic uncertainty, political and regulatory change, global pandemics and other factors, we do not know whether additional capital will be available when needed, or that, if available, we will be able to obtain additional capital on reasonable terms. If we are unable to raise additional capital due to volatile global financial markets, general economic uncertainty or other factors, we may need to curtail planned development activities. Despite recent moderation, the sustained elevated interest rates in recent years have had, and may continue to have, a negative effect on market prices for common stock of public companies, especially those in the biotech industry and those that have no current or near-term revenue. Further, a recession or market correction, supply chain disruptions and/or inflation could materially affect our business and the value of our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sources and uses of cash (in thousands):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988"/>
        <w:gridCol w:w="90"/>
        <w:gridCol w:w="202"/>
        <w:gridCol w:w="934"/>
        <w:gridCol w:w="148"/>
        <w:gridCol w:w="106"/>
        <w:gridCol w:w="202"/>
        <w:gridCol w:w="1077"/>
        <w:gridCol w:w="125"/>
        <w:gridCol w:w="90"/>
        <w:gridCol w:w="181"/>
        <w:gridCol w:w="889"/>
        <w:gridCol w:w="173"/>
      </w:tblGrid>
      <w:tr>
        <w:trPr/>
        <w:tc>
          <w:tcPr>
            <w:tcW w:w="5988"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669"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Six Months Ended</w:t>
              <w:br/>
              <w:t>June 30,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283"/>
              <w:jc w:val="center"/>
              <w:rPr>
                <w:b/>
              </w:rPr>
            </w:pPr>
            <w:r>
              <w:rPr>
                <w:b/>
              </w:rPr>
              <w:t>Period-to-</w:t>
              <w:br/>
              <w:t>Period</w:t>
            </w:r>
          </w:p>
        </w:tc>
        <w:tc>
          <w:tcPr>
            <w:tcW w:w="173" w:type="dxa"/>
            <w:tcBorders/>
            <w:vAlign w:val="center"/>
          </w:tcPr>
          <w:p>
            <w:pPr>
              <w:pStyle w:val="TableContents"/>
              <w:bidi w:val="0"/>
              <w:spacing w:before="0" w:after="283"/>
              <w:jc w:val="left"/>
              <w:rPr/>
            </w:pPr>
            <w:r>
              <w:rPr/>
              <w:t> </w:t>
            </w:r>
          </w:p>
        </w:tc>
      </w:tr>
      <w:tr>
        <w:trPr/>
        <w:tc>
          <w:tcPr>
            <w:tcW w:w="5988"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13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48"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27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173" w:type="dxa"/>
            <w:tcBorders/>
            <w:vAlign w:val="center"/>
          </w:tcPr>
          <w:p>
            <w:pPr>
              <w:pStyle w:val="TableContents"/>
              <w:bidi w:val="0"/>
              <w:spacing w:before="0" w:after="283"/>
              <w:jc w:val="left"/>
              <w:rPr/>
            </w:pPr>
            <w:r>
              <w:rPr/>
              <w:t> </w:t>
            </w:r>
          </w:p>
        </w:tc>
      </w:tr>
      <w:tr>
        <w:trPr/>
        <w:tc>
          <w:tcPr>
            <w:tcW w:w="598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6" w:type="dxa"/>
            <w:gridSpan w:val="2"/>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279"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r>
      <w:tr>
        <w:trPr/>
        <w:tc>
          <w:tcPr>
            <w:tcW w:w="5988" w:type="dxa"/>
            <w:tcBorders/>
            <w:shd w:fill="CCEEFF" w:val="clear"/>
            <w:vAlign w:val="center"/>
          </w:tcPr>
          <w:p>
            <w:pPr>
              <w:pStyle w:val="TableContents"/>
              <w:bidi w:val="0"/>
              <w:spacing w:before="0" w:after="283"/>
              <w:jc w:val="left"/>
              <w:rPr/>
            </w:pPr>
            <w:r>
              <w:rPr/>
              <w:t>Net cash provided by (used in) operating activities</w:t>
            </w:r>
          </w:p>
        </w:tc>
        <w:tc>
          <w:tcPr>
            <w:tcW w:w="9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w:t>
            </w:r>
          </w:p>
        </w:tc>
        <w:tc>
          <w:tcPr>
            <w:tcW w:w="934" w:type="dxa"/>
            <w:tcBorders/>
            <w:shd w:fill="CCEEFF" w:val="clear"/>
            <w:vAlign w:val="center"/>
          </w:tcPr>
          <w:p>
            <w:pPr>
              <w:pStyle w:val="TableContents"/>
              <w:bidi w:val="0"/>
              <w:spacing w:before="0" w:after="283"/>
              <w:jc w:val="right"/>
              <w:rPr/>
            </w:pPr>
            <w:r>
              <w:rPr/>
              <w:t>(36,732</w:t>
            </w:r>
          </w:p>
        </w:tc>
        <w:tc>
          <w:tcPr>
            <w:tcW w:w="148" w:type="dxa"/>
            <w:tcBorders/>
            <w:shd w:fill="CCEEFF" w:val="clear"/>
            <w:vAlign w:val="center"/>
          </w:tcPr>
          <w:p>
            <w:pPr>
              <w:pStyle w:val="TableContents"/>
              <w:bidi w:val="0"/>
              <w:spacing w:before="0" w:after="283"/>
              <w:jc w:val="left"/>
              <w:rPr/>
            </w:pPr>
            <w:r>
              <w:rPr/>
              <w:t>)</w:t>
            </w:r>
          </w:p>
        </w:tc>
        <w:tc>
          <w:tcPr>
            <w:tcW w:w="106"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w:t>
            </w:r>
          </w:p>
        </w:tc>
        <w:tc>
          <w:tcPr>
            <w:tcW w:w="1077" w:type="dxa"/>
            <w:tcBorders/>
            <w:shd w:fill="CCEEFF" w:val="clear"/>
            <w:vAlign w:val="center"/>
          </w:tcPr>
          <w:p>
            <w:pPr>
              <w:pStyle w:val="TableContents"/>
              <w:bidi w:val="0"/>
              <w:spacing w:before="0" w:after="283"/>
              <w:jc w:val="right"/>
              <w:rPr/>
            </w:pPr>
            <w:r>
              <w:rPr/>
              <w:t>(26,963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w:t>
            </w:r>
          </w:p>
        </w:tc>
        <w:tc>
          <w:tcPr>
            <w:tcW w:w="889" w:type="dxa"/>
            <w:tcBorders/>
            <w:shd w:fill="CCEEFF" w:val="clear"/>
            <w:vAlign w:val="center"/>
          </w:tcPr>
          <w:p>
            <w:pPr>
              <w:pStyle w:val="TableContents"/>
              <w:bidi w:val="0"/>
              <w:spacing w:before="0" w:after="283"/>
              <w:jc w:val="right"/>
              <w:rPr/>
            </w:pPr>
            <w:r>
              <w:rPr/>
              <w:t>(9,769</w:t>
            </w:r>
          </w:p>
        </w:tc>
        <w:tc>
          <w:tcPr>
            <w:tcW w:w="173" w:type="dxa"/>
            <w:tcBorders/>
            <w:shd w:fill="CCEEFF" w:val="clear"/>
            <w:vAlign w:val="center"/>
          </w:tcPr>
          <w:p>
            <w:pPr>
              <w:pStyle w:val="TableContents"/>
              <w:bidi w:val="0"/>
              <w:spacing w:before="0" w:after="283"/>
              <w:jc w:val="left"/>
              <w:rPr/>
            </w:pPr>
            <w:r>
              <w:rPr/>
              <w:t>)</w:t>
            </w:r>
          </w:p>
        </w:tc>
      </w:tr>
      <w:tr>
        <w:trPr/>
        <w:tc>
          <w:tcPr>
            <w:tcW w:w="5988" w:type="dxa"/>
            <w:tcBorders/>
            <w:vAlign w:val="center"/>
          </w:tcPr>
          <w:p>
            <w:pPr>
              <w:pStyle w:val="TableContents"/>
              <w:bidi w:val="0"/>
              <w:spacing w:before="0" w:after="283"/>
              <w:jc w:val="left"/>
              <w:rPr/>
            </w:pPr>
            <w:r>
              <w:rPr/>
              <w:t>Net cash provided by (used in) investing activities</w:t>
            </w:r>
          </w:p>
        </w:tc>
        <w:tc>
          <w:tcPr>
            <w:tcW w:w="9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934" w:type="dxa"/>
            <w:tcBorders/>
            <w:vAlign w:val="center"/>
          </w:tcPr>
          <w:p>
            <w:pPr>
              <w:pStyle w:val="TableContents"/>
              <w:bidi w:val="0"/>
              <w:spacing w:before="0" w:after="283"/>
              <w:jc w:val="right"/>
              <w:rPr/>
            </w:pPr>
            <w:r>
              <w:rPr/>
              <w:t>3,033</w:t>
            </w:r>
          </w:p>
        </w:tc>
        <w:tc>
          <w:tcPr>
            <w:tcW w:w="148"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1077" w:type="dxa"/>
            <w:tcBorders/>
            <w:vAlign w:val="center"/>
          </w:tcPr>
          <w:p>
            <w:pPr>
              <w:pStyle w:val="TableContents"/>
              <w:bidi w:val="0"/>
              <w:spacing w:before="0" w:after="283"/>
              <w:jc w:val="right"/>
              <w:rPr/>
            </w:pPr>
            <w:r>
              <w:rPr/>
              <w:t>(106,077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889" w:type="dxa"/>
            <w:tcBorders/>
            <w:vAlign w:val="center"/>
          </w:tcPr>
          <w:p>
            <w:pPr>
              <w:pStyle w:val="TableContents"/>
              <w:bidi w:val="0"/>
              <w:spacing w:before="0" w:after="283"/>
              <w:jc w:val="right"/>
              <w:rPr/>
            </w:pPr>
            <w:r>
              <w:rPr/>
              <w:t>109,110</w:t>
            </w:r>
          </w:p>
        </w:tc>
        <w:tc>
          <w:tcPr>
            <w:tcW w:w="173" w:type="dxa"/>
            <w:tcBorders/>
            <w:vAlign w:val="center"/>
          </w:tcPr>
          <w:p>
            <w:pPr>
              <w:pStyle w:val="TableContents"/>
              <w:bidi w:val="0"/>
              <w:spacing w:before="0" w:after="283"/>
              <w:jc w:val="left"/>
              <w:rPr/>
            </w:pPr>
            <w:r>
              <w:rPr/>
              <w:t> </w:t>
            </w:r>
          </w:p>
        </w:tc>
      </w:tr>
      <w:tr>
        <w:trPr/>
        <w:tc>
          <w:tcPr>
            <w:tcW w:w="5988" w:type="dxa"/>
            <w:tcBorders/>
            <w:shd w:fill="CCEEFF" w:val="clear"/>
            <w:vAlign w:val="center"/>
          </w:tcPr>
          <w:p>
            <w:pPr>
              <w:pStyle w:val="TableContents"/>
              <w:bidi w:val="0"/>
              <w:spacing w:before="0" w:after="283"/>
              <w:jc w:val="left"/>
              <w:rPr/>
            </w:pPr>
            <w:r>
              <w:rPr/>
              <w:t>Net cash provided by (used in) financing activities</w:t>
            </w:r>
          </w:p>
        </w:tc>
        <w:tc>
          <w:tcPr>
            <w:tcW w:w="90" w:type="dxa"/>
            <w:tcBorders/>
            <w:shd w:fill="CCEEFF" w:val="clear"/>
            <w:vAlign w:val="center"/>
          </w:tcPr>
          <w:p>
            <w:pPr>
              <w:pStyle w:val="TableContents"/>
              <w:bidi w:val="0"/>
              <w:spacing w:before="0" w:after="283"/>
              <w:jc w:val="left"/>
              <w:rPr/>
            </w:pPr>
            <w:r>
              <w:rPr/>
              <w:t> </w:t>
            </w:r>
          </w:p>
        </w:tc>
        <w:tc>
          <w:tcPr>
            <w:tcW w:w="20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4" w:type="dxa"/>
            <w:tcBorders>
              <w:bottom w:val="single" w:sz="12" w:space="0" w:color="000000"/>
            </w:tcBorders>
            <w:shd w:fill="CCEEFF" w:val="clear"/>
            <w:tcMar>
              <w:bottom w:w="28" w:type="dxa"/>
            </w:tcMar>
            <w:vAlign w:val="center"/>
          </w:tcPr>
          <w:p>
            <w:pPr>
              <w:pStyle w:val="TableContents"/>
              <w:bidi w:val="0"/>
              <w:spacing w:before="0" w:after="283"/>
              <w:jc w:val="right"/>
              <w:rPr/>
            </w:pPr>
            <w:r>
              <w:rPr/>
              <w:t>1,118</w:t>
            </w:r>
          </w:p>
        </w:tc>
        <w:tc>
          <w:tcPr>
            <w:tcW w:w="148"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20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77" w:type="dxa"/>
            <w:tcBorders>
              <w:bottom w:val="single" w:sz="12" w:space="0" w:color="000000"/>
            </w:tcBorders>
            <w:shd w:fill="CCEEFF" w:val="clear"/>
            <w:tcMar>
              <w:bottom w:w="28" w:type="dxa"/>
            </w:tcMar>
            <w:vAlign w:val="center"/>
          </w:tcPr>
          <w:p>
            <w:pPr>
              <w:pStyle w:val="TableContents"/>
              <w:bidi w:val="0"/>
              <w:spacing w:before="0" w:after="283"/>
              <w:jc w:val="right"/>
              <w:rPr/>
            </w:pPr>
            <w:r>
              <w:rPr/>
              <w:t>1,738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9" w:type="dxa"/>
            <w:tcBorders>
              <w:bottom w:val="single" w:sz="12" w:space="0" w:color="000000"/>
            </w:tcBorders>
            <w:shd w:fill="CCEEFF" w:val="clear"/>
            <w:tcMar>
              <w:bottom w:w="28" w:type="dxa"/>
            </w:tcMar>
            <w:vAlign w:val="center"/>
          </w:tcPr>
          <w:p>
            <w:pPr>
              <w:pStyle w:val="TableContents"/>
              <w:bidi w:val="0"/>
              <w:spacing w:before="0" w:after="283"/>
              <w:jc w:val="right"/>
              <w:rPr/>
            </w:pPr>
            <w:r>
              <w:rPr/>
              <w:t>(620</w:t>
            </w:r>
          </w:p>
        </w:tc>
        <w:tc>
          <w:tcPr>
            <w:tcW w:w="173" w:type="dxa"/>
            <w:tcBorders/>
            <w:shd w:fill="CCEEFF" w:val="clear"/>
            <w:vAlign w:val="center"/>
          </w:tcPr>
          <w:p>
            <w:pPr>
              <w:pStyle w:val="TableContents"/>
              <w:bidi w:val="0"/>
              <w:spacing w:before="0" w:after="283"/>
              <w:jc w:val="left"/>
              <w:rPr/>
            </w:pPr>
            <w:r>
              <w:rPr/>
              <w:t>)</w:t>
            </w:r>
          </w:p>
        </w:tc>
      </w:tr>
      <w:tr>
        <w:trPr/>
        <w:tc>
          <w:tcPr>
            <w:tcW w:w="5988" w:type="dxa"/>
            <w:tcBorders/>
            <w:vAlign w:val="center"/>
          </w:tcPr>
          <w:p>
            <w:pPr>
              <w:pStyle w:val="TableContents"/>
              <w:bidi w:val="0"/>
              <w:spacing w:before="0" w:after="283"/>
              <w:jc w:val="left"/>
              <w:rPr/>
            </w:pPr>
            <w:r>
              <w:rPr/>
              <w:t>Net increase (decrease) in cash and cash equivalents, and restricted cash</w:t>
            </w:r>
          </w:p>
        </w:tc>
        <w:tc>
          <w:tcPr>
            <w:tcW w:w="90" w:type="dxa"/>
            <w:tcBorders/>
            <w:vAlign w:val="center"/>
          </w:tcPr>
          <w:p>
            <w:pPr>
              <w:pStyle w:val="TableContents"/>
              <w:bidi w:val="0"/>
              <w:spacing w:before="0" w:after="283"/>
              <w:jc w:val="left"/>
              <w:rPr/>
            </w:pPr>
            <w:r>
              <w:rPr/>
              <w:t> </w:t>
            </w:r>
          </w:p>
        </w:tc>
        <w:tc>
          <w:tcPr>
            <w:tcW w:w="202" w:type="dxa"/>
            <w:tcBorders>
              <w:bottom w:val="double" w:sz="10" w:space="0" w:color="000000"/>
            </w:tcBorders>
            <w:tcMar>
              <w:bottom w:w="28" w:type="dxa"/>
            </w:tcMar>
            <w:vAlign w:val="center"/>
          </w:tcPr>
          <w:p>
            <w:pPr>
              <w:pStyle w:val="TableContents"/>
              <w:bidi w:val="0"/>
              <w:spacing w:before="0" w:after="283"/>
              <w:jc w:val="left"/>
              <w:rPr/>
            </w:pPr>
            <w:r>
              <w:rPr/>
              <w:t>$</w:t>
            </w:r>
          </w:p>
        </w:tc>
        <w:tc>
          <w:tcPr>
            <w:tcW w:w="934" w:type="dxa"/>
            <w:tcBorders>
              <w:bottom w:val="double" w:sz="10" w:space="0" w:color="000000"/>
            </w:tcBorders>
            <w:tcMar>
              <w:bottom w:w="28" w:type="dxa"/>
            </w:tcMar>
            <w:vAlign w:val="center"/>
          </w:tcPr>
          <w:p>
            <w:pPr>
              <w:pStyle w:val="TableContents"/>
              <w:bidi w:val="0"/>
              <w:spacing w:before="0" w:after="283"/>
              <w:jc w:val="right"/>
              <w:rPr/>
            </w:pPr>
            <w:r>
              <w:rPr/>
              <w:t>(32,581</w:t>
            </w:r>
          </w:p>
        </w:tc>
        <w:tc>
          <w:tcPr>
            <w:tcW w:w="148" w:type="dxa"/>
            <w:tcBorders/>
            <w:vAlign w:val="center"/>
          </w:tcPr>
          <w:p>
            <w:pPr>
              <w:pStyle w:val="TableContents"/>
              <w:bidi w:val="0"/>
              <w:spacing w:before="0" w:after="283"/>
              <w:jc w:val="left"/>
              <w:rPr/>
            </w:pPr>
            <w:r>
              <w:rPr/>
              <w:t>)</w:t>
            </w:r>
          </w:p>
        </w:tc>
        <w:tc>
          <w:tcPr>
            <w:tcW w:w="106" w:type="dxa"/>
            <w:tcBorders/>
            <w:vAlign w:val="center"/>
          </w:tcPr>
          <w:p>
            <w:pPr>
              <w:pStyle w:val="TableContents"/>
              <w:bidi w:val="0"/>
              <w:spacing w:before="0" w:after="283"/>
              <w:jc w:val="left"/>
              <w:rPr/>
            </w:pPr>
            <w:r>
              <w:rPr/>
              <w:t> </w:t>
            </w:r>
          </w:p>
        </w:tc>
        <w:tc>
          <w:tcPr>
            <w:tcW w:w="202" w:type="dxa"/>
            <w:tcBorders>
              <w:bottom w:val="double" w:sz="10" w:space="0" w:color="000000"/>
            </w:tcBorders>
            <w:tcMar>
              <w:bottom w:w="28" w:type="dxa"/>
            </w:tcMar>
            <w:vAlign w:val="center"/>
          </w:tcPr>
          <w:p>
            <w:pPr>
              <w:pStyle w:val="TableContents"/>
              <w:bidi w:val="0"/>
              <w:spacing w:before="0" w:after="283"/>
              <w:jc w:val="left"/>
              <w:rPr/>
            </w:pPr>
            <w:r>
              <w:rPr/>
              <w:t>$</w:t>
            </w:r>
          </w:p>
        </w:tc>
        <w:tc>
          <w:tcPr>
            <w:tcW w:w="1077" w:type="dxa"/>
            <w:tcBorders>
              <w:bottom w:val="double" w:sz="10" w:space="0" w:color="000000"/>
            </w:tcBorders>
            <w:tcMar>
              <w:bottom w:w="28" w:type="dxa"/>
            </w:tcMar>
            <w:vAlign w:val="center"/>
          </w:tcPr>
          <w:p>
            <w:pPr>
              <w:pStyle w:val="TableContents"/>
              <w:bidi w:val="0"/>
              <w:spacing w:before="0" w:after="283"/>
              <w:jc w:val="right"/>
              <w:rPr/>
            </w:pPr>
            <w:r>
              <w:rPr/>
              <w:t>(131,302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81" w:type="dxa"/>
            <w:tcBorders>
              <w:bottom w:val="double" w:sz="10" w:space="0" w:color="000000"/>
            </w:tcBorders>
            <w:tcMar>
              <w:bottom w:w="28" w:type="dxa"/>
            </w:tcMar>
            <w:vAlign w:val="center"/>
          </w:tcPr>
          <w:p>
            <w:pPr>
              <w:pStyle w:val="TableContents"/>
              <w:bidi w:val="0"/>
              <w:spacing w:before="0" w:after="283"/>
              <w:jc w:val="left"/>
              <w:rPr/>
            </w:pPr>
            <w:r>
              <w:rPr/>
              <w:t>$</w:t>
            </w:r>
          </w:p>
        </w:tc>
        <w:tc>
          <w:tcPr>
            <w:tcW w:w="889" w:type="dxa"/>
            <w:tcBorders>
              <w:bottom w:val="double" w:sz="10" w:space="0" w:color="000000"/>
            </w:tcBorders>
            <w:tcMar>
              <w:bottom w:w="28" w:type="dxa"/>
            </w:tcMar>
            <w:vAlign w:val="center"/>
          </w:tcPr>
          <w:p>
            <w:pPr>
              <w:pStyle w:val="TableContents"/>
              <w:bidi w:val="0"/>
              <w:spacing w:before="0" w:after="283"/>
              <w:jc w:val="right"/>
              <w:rPr/>
            </w:pPr>
            <w:r>
              <w:rPr/>
              <w:t>98,721</w:t>
            </w:r>
          </w:p>
        </w:tc>
        <w:tc>
          <w:tcPr>
            <w:tcW w:w="173"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the Six Months Ended June 30,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(used in) operating activities was approximately $(36.7) million for the six months ended June 30, 2026 compared to approximately $(27.0) million for the six months ended June 30, 2025. The increase of approximately $9.8 million in cash used in operating activities was primarily driven by an increase in net loss of $12.6 million, offset by a decrease in cash used for operating assets and liabilities, primarily related to changes in other assets, accrued expenses, other current liabilities, and accounts payable, resulting principally from the timing of payments to our service providers of $(1.6) million and, an increase in non-cash items, consisting principally of accretion of discount on marketable debt securities and stock-based compensation expense of $1.2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(used in) investing activities was approximately $3.0 million for the six months ended June 30, 2026 compared to approximately $(106.1) million for the six months ended June 30, 2025. The decrease in cash used of $109.1 million resulted primarily from a decrease in purchases of marketable debt securities of $54.4 million as well as an increase in proceeds from marketable debt securities matured and redeemed of $55.0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(used in) financing activities was $1.1 million for the six months ended June 30, 2026 compared to $1.7 million for the six months ended June 30, 2025. The $0.6 million decrease was primarily driven by proceeds received in the prior-year period of $1.9 million from the net proceeds of the December 2024 Public Offering, as compared to $1.9 million in proceeds from the exercise of common warrants offset against offering costs paid during the current period of $0.5 million in connection with public offerings.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Contractual and Other Obligations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Operating lease obligations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operating lease obligations primarily consist of lease payments on our corporate headquarters in New York, New York, as well as lease payments for our development laboratory, a manufacturing facility and an additional manufacturing space, all located in North America which are described in further detail in Note 8 of our condensed consolidated financial statements included in this Quarterly Report on Form 10-Q.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obligations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enter into certain types of contracts that contingently require us to indemnify parties against third-party claims, supply agreements and agreements with directors and officers. The terms of such obligations vary by contract and in most instances a maximum dollar amount is not explicitly stated therein. Generally, amounts under these contracts cannot be reasonably estimated until a specific claim is asserted, thus no liabilities have been recorded for these obligations on our condensed consolidated balance sheet for the periods presented.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 into contracts in the normal course of business with CROs, CDMOs and clinical sites for the conduct of clinical trials, non-clinical research studies, professional consultants for expert advice and other vendors for clinical supply manufacturing or other services. These contracts generally provide for termination on notice, and therefore are cancelable contracts.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these agreements require us to pay milestones to such third parties upon achievement of certain development, regulatory or commercial milestones as further described in Note 9 of our condensed consolidated financial statements included elsewhere in this Quarterly Report on Form 10-Q. Amounts related to contingent milestone payments are not considered contractual obligations as they are contingent on the successful achievement of certain development, regulatory approval and commercial milestones, which may not be achieved.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have obligations to make future payments to third parties that become due and payable on the achievement of certain milestones, including future payments to third parties with whom we have entered into research, development and commercialization agreements. We have not included these commitments on our condensed consolidated balance sheet for the periods presented because the achievement and timing of these milestones is not fixed and determinable.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did not have, during the periods presented, and we do not currently have, any off-balance sheet arrangements, as defined under the applicable regulations of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0" w:name="a_019"/>
      <w:bookmarkEnd w:id="10"/>
      <w:r>
        <w:rPr>
          <w:rFonts w:ascii="Times New Roman;Times;Serif" w:hAnsi="Times New Roman;Times;Serif"/>
          <w:b/>
          <w:i w:val="false"/>
          <w:caps w:val="false"/>
          <w:smallCaps w:val="false"/>
          <w:sz w:val="20"/>
        </w:rPr>
        <w:t xml:space="preserve">Item 3. Quantitative and Qualitative Disclosures About Market Risk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1" w:name="a_020"/>
      <w:bookmarkEnd w:id="11"/>
      <w:r>
        <w:rPr>
          <w:rFonts w:ascii="Times New Roman;Times;Serif" w:hAnsi="Times New Roman;Times;Serif"/>
          <w:b/>
          <w:i w:val="false"/>
          <w:caps w:val="false"/>
          <w:smallCaps w:val="false"/>
          <w:sz w:val="20"/>
        </w:rPr>
        <w:t>Item 4.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Evaluation of our Disclosure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disclosure controls and procedures (as defined in Rules 13a-15(e) or 15d-15(e) under the Securities Exchange Act of 1934, as amended, or the Exchange Act)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principal executive officer and principal financial officer, as appropriate, to allow timely decisions regarding required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our management, with the participation of our principal executive and principal financial officer, evaluated the effectiveness of our disclosure controls and procedures as of the end of the period covered by this Quarterly Report on Form 10-Q.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Our principal executive and principal financial officer have concluded based upon the evaluation described above that, as of June 30, 2026, our disclosure controls and procedures were effective at the reasonable assurance level.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continue to review and document our disclosure controls and procedures, including our internal controls and procedures for financial reporting, and may from time to time make changes aimed at enhancing their effectiveness and to ensure that our systems evolve with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Changes in Internal Control Over Financial Reporting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changes in our internal control over financial reporting during the quarter ended June 30, 2026, as such term is defined in Rules 13a-15(f) and 15(d)-15(f) promulgated under the Exchange Act, that have materially affected, or are reasonably likely to materially affect, our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a_008"/>
      <w:bookmarkEnd w:id="12"/>
      <w:r>
        <w:rPr>
          <w:rFonts w:ascii="Times New Roman;Times;Serif" w:hAnsi="Times New Roman;Times;Serif"/>
          <w:b/>
          <w:i w:val="false"/>
          <w:caps w:val="false"/>
          <w:smallCaps w:val="false"/>
          <w:sz w:val="20"/>
        </w:rPr>
        <w:t>PART II – OTHER INFORMATION</w:t>
      </w:r>
    </w:p>
    <w:p>
      <w:pPr>
        <w:pStyle w:val="TextBody"/>
        <w:bidi w:val="0"/>
        <w:spacing w:before="0" w:after="0"/>
        <w:ind w:left="0" w:right="0" w:firstLine="333"/>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3" w:name="a_009"/>
      <w:bookmarkEnd w:id="13"/>
      <w:r>
        <w:rPr>
          <w:rFonts w:ascii="Times New Roman;Times;Serif" w:hAnsi="Times New Roman;Times;Serif"/>
          <w:b/>
          <w:i w:val="false"/>
          <w:caps w:val="false"/>
          <w:smallCaps w:val="false"/>
          <w:sz w:val="20"/>
        </w:rPr>
        <w:t>Item 1. 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be subject to various legal proceedings and claims that arise in the ordinary course of our business activities. We are not currently a party to any legal proceedings that, in the opinion of our management, are likely to have a material adverse effect on our business. Regardless of outcome, litigation can have an adverse impact on us because of defense and settlement costs, diversion of management resources and other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4" w:name="a_010"/>
      <w:bookmarkEnd w:id="14"/>
      <w:r>
        <w:rPr>
          <w:rFonts w:ascii="Times New Roman;Times;Serif" w:hAnsi="Times New Roman;Times;Serif"/>
          <w:b/>
          <w:i w:val="false"/>
          <w:caps w:val="false"/>
          <w:smallCaps w:val="false"/>
          <w:sz w:val="20"/>
        </w:rPr>
        <w:t xml:space="preserve">Item 1A. Risk Factors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material changes to the risk factors previously disclosed in Part I, Item 1A, “Risk Factors” of our Annual Report on Form 10-K for the year ended December 31, 2025, filed with the SEC on March 10, 2026.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5" w:name="a_011"/>
      <w:bookmarkEnd w:id="15"/>
      <w:r>
        <w:rPr>
          <w:rFonts w:ascii="Times New Roman;Times;Serif" w:hAnsi="Times New Roman;Times;Serif"/>
          <w:b/>
          <w:i w:val="false"/>
          <w:caps w:val="false"/>
          <w:smallCaps w:val="false"/>
          <w:sz w:val="20"/>
        </w:rPr>
        <w:t xml:space="preserve">Item 2. Unregistered Sales of Equity Securities and Use of Proceeds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June 30, 2026, approximately 2,652 shares of previously issued Series 1 Convertible Preferred Stock were converted in accordance with their terms into 2,653,351 shares of common stock at the election of their holder.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reported in the Company’s Current Report on Form 8-K filed with the SEC on January 10, 2020, on January 9, 2020, the Company issued and sold to certain institutional investors 3,879.356 shares of Series 1 Convertible Preferred Stock at a purchase price of $7,011.47 per share, for an aggregate purchase price of approximately $27.2 million, in reliance on an exemption under Section 4(a)(2) of the Securities Act of 1933, as amended, from the registration requirements thereof. Each of the purchasers represented that it was acquiring the securities for investment only and not with a view towards, or for resale in connection with, the public sale or distribution thereof. Each share of Series 1 Convertible Preferred Stock is convertible into approximately 1,000 shares of the Company’s common stock, at a conversion price initially equal to approximately $7.01 per common share, subject to certain adjustments as described in the certificate of designation of preferences, rights and limitations of Series 1 Convertible Preferred Stock, at any time at the option of the holder, provided that any conversion of Series 1 Convertible Preferred Stock by a holder into shares of the Company’s common stock would be prohibited if, as a result of such conversion, the holder, together with its affiliates and any other person or entity whose beneficial ownership of the Company’s common stock would be aggregated with such holder’s for purposes of Section 13(d) of the Exchange Act would beneficially own more than 9.99% of the total number of shares of the Company’s common stock issued and outstanding after giving effect to such conversion. Upon written notice to the Company, the holder may from time to time increase or decrease such limitation to any other percentage not in excess of 19.99% specified in such notice.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6" w:name="a_012"/>
      <w:bookmarkEnd w:id="16"/>
      <w:r>
        <w:rPr>
          <w:rFonts w:ascii="Times New Roman;Times;Serif" w:hAnsi="Times New Roman;Times;Serif"/>
          <w:b/>
          <w:i w:val="false"/>
          <w:caps w:val="false"/>
          <w:smallCaps w:val="false"/>
          <w:sz w:val="20"/>
        </w:rPr>
        <w:t>Item 3. Defaults Upon Senior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7" w:name="a_013"/>
      <w:bookmarkEnd w:id="17"/>
      <w:r>
        <w:rPr>
          <w:rFonts w:ascii="Times New Roman;Times;Serif" w:hAnsi="Times New Roman;Times;Serif"/>
          <w:b/>
          <w:i w:val="false"/>
          <w:caps w:val="false"/>
          <w:smallCaps w:val="false"/>
          <w:sz w:val="20"/>
        </w:rPr>
        <w:t>Item 4. Mine Safety Disclosures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8" w:name="a_014"/>
      <w:bookmarkEnd w:id="18"/>
      <w:r>
        <w:rPr>
          <w:rFonts w:ascii="Times New Roman;Times;Serif" w:hAnsi="Times New Roman;Times;Serif"/>
          <w:b/>
          <w:i w:val="false"/>
          <w:caps w:val="false"/>
          <w:smallCaps w:val="false"/>
          <w:sz w:val="20"/>
        </w:rPr>
        <w:t>Item 5. Other Information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information concerning Rule 10b5-1 trading arrangements (as defined in Item 408 of Regulation S-K under the Exchange Act) adopted, modified, or terminated in the three months ended June 30, 2026 by any director or any executive officer who is subject to the filing requirements of Section 16 of the Exchange Act. These trading arrangements are intended to satisfy the affirmative defense of Rule 10b5-1(c). These trading arrangements permit transactions through and including the earlier to occur of (a) the completion of all purchases or sales or (b) the date listed in the table below. These trading arrangements, identified as “Rule 10b5-1 Trading Arrangements”, only permit transactions upon expiration of the applicable mandatory cooling-off period under Rule 10b5-1.</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953"/>
        <w:gridCol w:w="90"/>
        <w:gridCol w:w="1252"/>
        <w:gridCol w:w="90"/>
        <w:gridCol w:w="1190"/>
        <w:gridCol w:w="90"/>
        <w:gridCol w:w="1190"/>
        <w:gridCol w:w="90"/>
        <w:gridCol w:w="1625"/>
        <w:gridCol w:w="90"/>
        <w:gridCol w:w="154"/>
        <w:gridCol w:w="1253"/>
        <w:gridCol w:w="138"/>
      </w:tblGrid>
      <w:tr>
        <w:trPr/>
        <w:tc>
          <w:tcPr>
            <w:tcW w:w="2953"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 (Title)</w:t>
            </w:r>
          </w:p>
        </w:tc>
        <w:tc>
          <w:tcPr>
            <w:tcW w:w="90" w:type="dxa"/>
            <w:tcBorders/>
            <w:tcMar>
              <w:bottom w:w="0" w:type="dxa"/>
            </w:tcMar>
            <w:vAlign w:val="center"/>
          </w:tcPr>
          <w:p>
            <w:pPr>
              <w:pStyle w:val="TableContents"/>
              <w:bidi w:val="0"/>
              <w:spacing w:before="0" w:after="283"/>
              <w:jc w:val="left"/>
              <w:rPr/>
            </w:pPr>
            <w:r>
              <w:rPr/>
              <w:t> </w:t>
            </w:r>
          </w:p>
        </w:tc>
        <w:tc>
          <w:tcPr>
            <w:tcW w:w="1252"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Action Taken</w:t>
              <w:br/>
              <w:t>(Date of Action)</w:t>
            </w:r>
          </w:p>
        </w:tc>
        <w:tc>
          <w:tcPr>
            <w:tcW w:w="90" w:type="dxa"/>
            <w:tcBorders/>
            <w:tcMar>
              <w:bottom w:w="0" w:type="dxa"/>
            </w:tcMar>
            <w:vAlign w:val="center"/>
          </w:tcPr>
          <w:p>
            <w:pPr>
              <w:pStyle w:val="TableContents"/>
              <w:bidi w:val="0"/>
              <w:spacing w:before="0" w:after="283"/>
              <w:jc w:val="left"/>
              <w:rPr/>
            </w:pPr>
            <w:r>
              <w:rPr/>
              <w:t> </w:t>
            </w:r>
          </w:p>
        </w:tc>
        <w:tc>
          <w:tcPr>
            <w:tcW w:w="119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Nature of</w:t>
              <w:br/>
              <w:t>Trading</w:t>
              <w:br/>
              <w:t>Arrangement</w:t>
            </w:r>
          </w:p>
        </w:tc>
        <w:tc>
          <w:tcPr>
            <w:tcW w:w="90" w:type="dxa"/>
            <w:tcBorders/>
            <w:tcMar>
              <w:bottom w:w="0" w:type="dxa"/>
            </w:tcMar>
            <w:vAlign w:val="center"/>
          </w:tcPr>
          <w:p>
            <w:pPr>
              <w:pStyle w:val="TableContents"/>
              <w:bidi w:val="0"/>
              <w:spacing w:before="0" w:after="283"/>
              <w:jc w:val="left"/>
              <w:rPr/>
            </w:pPr>
            <w:r>
              <w:rPr/>
              <w:t> </w:t>
            </w:r>
          </w:p>
        </w:tc>
        <w:tc>
          <w:tcPr>
            <w:tcW w:w="119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Type of </w:t>
              <w:br/>
              <w:t>Trading</w:t>
              <w:br/>
              <w:t>Arrangement</w:t>
            </w:r>
          </w:p>
        </w:tc>
        <w:tc>
          <w:tcPr>
            <w:tcW w:w="90" w:type="dxa"/>
            <w:tcBorders/>
            <w:tcMar>
              <w:bottom w:w="0" w:type="dxa"/>
            </w:tcMar>
            <w:vAlign w:val="center"/>
          </w:tcPr>
          <w:p>
            <w:pPr>
              <w:pStyle w:val="TableContents"/>
              <w:bidi w:val="0"/>
              <w:spacing w:before="0" w:after="283"/>
              <w:jc w:val="center"/>
              <w:rPr/>
            </w:pPr>
            <w:r>
              <w:rPr/>
              <w:t> </w:t>
            </w:r>
          </w:p>
        </w:tc>
        <w:tc>
          <w:tcPr>
            <w:tcW w:w="162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Duration of </w:t>
              <w:br/>
              <w:t>Trading</w:t>
              <w:br/>
              <w:t>Arrangement</w:t>
            </w:r>
          </w:p>
        </w:tc>
        <w:tc>
          <w:tcPr>
            <w:tcW w:w="90" w:type="dxa"/>
            <w:tcBorders/>
            <w:tcMar>
              <w:bottom w:w="0" w:type="dxa"/>
            </w:tcMar>
            <w:vAlign w:val="center"/>
          </w:tcPr>
          <w:p>
            <w:pPr>
              <w:pStyle w:val="TableContents"/>
              <w:bidi w:val="0"/>
              <w:spacing w:before="0" w:after="283"/>
              <w:jc w:val="left"/>
              <w:rPr/>
            </w:pPr>
            <w:r>
              <w:rPr/>
              <w:t> </w:t>
            </w:r>
          </w:p>
        </w:tc>
        <w:tc>
          <w:tcPr>
            <w:tcW w:w="1407"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Aggregate Number</w:t>
              <w:br/>
              <w:t>of Securities</w:t>
            </w:r>
          </w:p>
        </w:tc>
        <w:tc>
          <w:tcPr>
            <w:tcW w:w="138" w:type="dxa"/>
            <w:tcBorders/>
            <w:tcMar>
              <w:bottom w:w="0" w:type="dxa"/>
            </w:tcMar>
            <w:vAlign w:val="center"/>
          </w:tcPr>
          <w:p>
            <w:pPr>
              <w:pStyle w:val="TableContents"/>
              <w:bidi w:val="0"/>
              <w:spacing w:before="0" w:after="283"/>
              <w:jc w:val="left"/>
              <w:rPr/>
            </w:pPr>
            <w:r>
              <w:rPr/>
              <w:t> </w:t>
            </w:r>
          </w:p>
        </w:tc>
      </w:tr>
      <w:tr>
        <w:trPr/>
        <w:tc>
          <w:tcPr>
            <w:tcW w:w="2953" w:type="dxa"/>
            <w:tcBorders/>
            <w:shd w:fill="CCEEFF" w:val="clear"/>
            <w:tcMar>
              <w:bottom w:w="0" w:type="dxa"/>
            </w:tcMar>
            <w:vAlign w:val="center"/>
          </w:tcPr>
          <w:p>
            <w:pPr>
              <w:pStyle w:val="TableContents"/>
              <w:bidi w:val="0"/>
              <w:spacing w:before="0" w:after="0"/>
              <w:ind w:left="36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Jesse Shefferman</w:t>
            </w:r>
          </w:p>
          <w:p>
            <w:pPr>
              <w:pStyle w:val="TableContents"/>
              <w:bidi w:val="0"/>
              <w:spacing w:before="0" w:after="0"/>
              <w:ind w:left="36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(President, Chief Executive Officer and Director)</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2"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Terminated</w:t>
            </w:r>
            <w:r>
              <w:rPr>
                <w:rFonts w:ascii="Times New Roman;Times;Serif" w:hAnsi="Times New Roman;Times;Serif"/>
                <w:b w:val="false"/>
                <w:i w:val="false"/>
                <w:caps w:val="false"/>
                <w:smallCaps w:val="false"/>
                <w:position w:val="7"/>
                <w:sz w:val="16"/>
                <w:sz w:val="20"/>
              </w:rPr>
              <w:t>(a)</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26, 2026)</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19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Sale</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19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Rule 10b5-1</w:t>
              <w:br/>
              <w:t>trading</w:t>
              <w:br/>
              <w:t xml:space="preserve">arrangement </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62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June 16, 2026 –</w:t>
              <w:br/>
              <w:t>April 28, 2028</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54" w:type="dxa"/>
            <w:tcBorders/>
            <w:shd w:fill="CCEEFF" w:val="clear"/>
            <w:tcMar>
              <w:bottom w:w="0" w:type="dxa"/>
            </w:tcMar>
            <w:vAlign w:val="center"/>
          </w:tcPr>
          <w:p>
            <w:pPr>
              <w:pStyle w:val="TableContents"/>
              <w:bidi w:val="0"/>
              <w:spacing w:before="0" w:after="283"/>
              <w:jc w:val="center"/>
              <w:rPr/>
            </w:pPr>
            <w:r>
              <w:rPr/>
              <w:t> </w:t>
            </w:r>
          </w:p>
        </w:tc>
        <w:tc>
          <w:tcPr>
            <w:tcW w:w="1253"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754,054</w:t>
            </w:r>
          </w:p>
        </w:tc>
        <w:tc>
          <w:tcPr>
            <w:tcW w:w="138" w:type="dxa"/>
            <w:tcBorders/>
            <w:shd w:fill="CCEEFF" w:val="clear"/>
            <w:tcMar>
              <w:bottom w:w="0" w:type="dxa"/>
            </w:tcMar>
            <w:vAlign w:val="center"/>
          </w:tcPr>
          <w:p>
            <w:pPr>
              <w:pStyle w:val="TableContents"/>
              <w:bidi w:val="0"/>
              <w:spacing w:before="0" w:after="283"/>
              <w:jc w:val="left"/>
              <w:rPr/>
            </w:pPr>
            <w:r>
              <w:rPr/>
              <w:t> </w:t>
            </w:r>
          </w:p>
        </w:tc>
      </w:tr>
      <w:tr>
        <w:trPr/>
        <w:tc>
          <w:tcPr>
            <w:tcW w:w="2953" w:type="dxa"/>
            <w:tcBorders/>
            <w:tcMar>
              <w:bottom w:w="0" w:type="dxa"/>
            </w:tcMar>
            <w:vAlign w:val="center"/>
          </w:tcPr>
          <w:p>
            <w:pPr>
              <w:pStyle w:val="TableContents"/>
              <w:bidi w:val="0"/>
              <w:spacing w:before="0" w:after="0"/>
              <w:ind w:left="36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Jesse Shefferman</w:t>
            </w:r>
          </w:p>
          <w:p>
            <w:pPr>
              <w:pStyle w:val="TableContents"/>
              <w:bidi w:val="0"/>
              <w:spacing w:before="0" w:after="0"/>
              <w:ind w:left="36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(President, Chief Executive Officer and Director)</w:t>
            </w:r>
          </w:p>
        </w:tc>
        <w:tc>
          <w:tcPr>
            <w:tcW w:w="90" w:type="dxa"/>
            <w:tcBorders/>
            <w:tcMar>
              <w:bottom w:w="0" w:type="dxa"/>
            </w:tcMar>
            <w:vAlign w:val="center"/>
          </w:tcPr>
          <w:p>
            <w:pPr>
              <w:pStyle w:val="TableContents"/>
              <w:bidi w:val="0"/>
              <w:spacing w:before="0" w:after="283"/>
              <w:jc w:val="left"/>
              <w:rPr/>
            </w:pPr>
            <w:r>
              <w:rPr/>
              <w:t> </w:t>
            </w:r>
          </w:p>
        </w:tc>
        <w:tc>
          <w:tcPr>
            <w:tcW w:w="1252"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Adopted</w:t>
            </w:r>
            <w:r>
              <w:rPr>
                <w:rFonts w:ascii="Times New Roman;Times;Serif" w:hAnsi="Times New Roman;Times;Serif"/>
                <w:b w:val="false"/>
                <w:i w:val="false"/>
                <w:caps w:val="false"/>
                <w:smallCaps w:val="false"/>
                <w:position w:val="7"/>
                <w:sz w:val="16"/>
                <w:sz w:val="20"/>
              </w:rPr>
              <w:t>(a)</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26, 2026)</w:t>
            </w:r>
          </w:p>
        </w:tc>
        <w:tc>
          <w:tcPr>
            <w:tcW w:w="90" w:type="dxa"/>
            <w:tcBorders/>
            <w:tcMar>
              <w:bottom w:w="0" w:type="dxa"/>
            </w:tcMar>
            <w:vAlign w:val="center"/>
          </w:tcPr>
          <w:p>
            <w:pPr>
              <w:pStyle w:val="TableContents"/>
              <w:bidi w:val="0"/>
              <w:spacing w:before="0" w:after="283"/>
              <w:jc w:val="center"/>
              <w:rPr/>
            </w:pPr>
            <w:r>
              <w:rPr/>
              <w:t> </w:t>
            </w:r>
          </w:p>
        </w:tc>
        <w:tc>
          <w:tcPr>
            <w:tcW w:w="119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Sale</w:t>
            </w:r>
          </w:p>
        </w:tc>
        <w:tc>
          <w:tcPr>
            <w:tcW w:w="90" w:type="dxa"/>
            <w:tcBorders/>
            <w:tcMar>
              <w:bottom w:w="0" w:type="dxa"/>
            </w:tcMar>
            <w:vAlign w:val="center"/>
          </w:tcPr>
          <w:p>
            <w:pPr>
              <w:pStyle w:val="TableContents"/>
              <w:bidi w:val="0"/>
              <w:spacing w:before="0" w:after="283"/>
              <w:jc w:val="center"/>
              <w:rPr/>
            </w:pPr>
            <w:r>
              <w:rPr/>
              <w:t> </w:t>
            </w:r>
          </w:p>
        </w:tc>
        <w:tc>
          <w:tcPr>
            <w:tcW w:w="119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Rule 10b5-1</w:t>
              <w:br/>
              <w:t>trading</w:t>
              <w:br/>
              <w:t xml:space="preserve">arrangement </w:t>
            </w:r>
          </w:p>
        </w:tc>
        <w:tc>
          <w:tcPr>
            <w:tcW w:w="90" w:type="dxa"/>
            <w:tcBorders/>
            <w:tcMar>
              <w:bottom w:w="0" w:type="dxa"/>
            </w:tcMar>
            <w:vAlign w:val="center"/>
          </w:tcPr>
          <w:p>
            <w:pPr>
              <w:pStyle w:val="TableContents"/>
              <w:bidi w:val="0"/>
              <w:spacing w:before="0" w:after="283"/>
              <w:jc w:val="center"/>
              <w:rPr/>
            </w:pPr>
            <w:r>
              <w:rPr/>
              <w:t> </w:t>
            </w:r>
          </w:p>
        </w:tc>
        <w:tc>
          <w:tcPr>
            <w:tcW w:w="162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September 25, 2026 –</w:t>
              <w:br/>
              <w:t>April 28, 2028</w:t>
            </w:r>
          </w:p>
        </w:tc>
        <w:tc>
          <w:tcPr>
            <w:tcW w:w="90" w:type="dxa"/>
            <w:tcBorders/>
            <w:tcMar>
              <w:bottom w:w="0" w:type="dxa"/>
            </w:tcMar>
            <w:vAlign w:val="center"/>
          </w:tcPr>
          <w:p>
            <w:pPr>
              <w:pStyle w:val="TableContents"/>
              <w:bidi w:val="0"/>
              <w:spacing w:before="0" w:after="283"/>
              <w:jc w:val="center"/>
              <w:rPr/>
            </w:pPr>
            <w:r>
              <w:rPr/>
              <w:t> </w:t>
            </w:r>
          </w:p>
        </w:tc>
        <w:tc>
          <w:tcPr>
            <w:tcW w:w="154" w:type="dxa"/>
            <w:tcBorders/>
            <w:tcMar>
              <w:bottom w:w="0" w:type="dxa"/>
            </w:tcMar>
            <w:vAlign w:val="center"/>
          </w:tcPr>
          <w:p>
            <w:pPr>
              <w:pStyle w:val="TableContents"/>
              <w:bidi w:val="0"/>
              <w:spacing w:before="0" w:after="283"/>
              <w:jc w:val="center"/>
              <w:rPr/>
            </w:pPr>
            <w:r>
              <w:rPr/>
              <w:t> </w:t>
            </w:r>
          </w:p>
        </w:tc>
        <w:tc>
          <w:tcPr>
            <w:tcW w:w="1253"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540,364</w:t>
            </w:r>
          </w:p>
        </w:tc>
        <w:tc>
          <w:tcPr>
            <w:tcW w:w="138" w:type="dxa"/>
            <w:tcBorders/>
            <w:tcMar>
              <w:bottom w:w="0" w:type="dxa"/>
            </w:tcMar>
            <w:vAlign w:val="center"/>
          </w:tcPr>
          <w:p>
            <w:pPr>
              <w:pStyle w:val="TableContents"/>
              <w:bidi w:val="0"/>
              <w:spacing w:before="0" w:after="283"/>
              <w:jc w:val="left"/>
              <w:rPr/>
            </w:pPr>
            <w:r>
              <w:rPr/>
              <w:t> </w:t>
            </w:r>
          </w:p>
        </w:tc>
      </w:tr>
      <w:tr>
        <w:trPr/>
        <w:tc>
          <w:tcPr>
            <w:tcW w:w="2953" w:type="dxa"/>
            <w:tcBorders/>
            <w:shd w:fill="CCEEFF" w:val="clear"/>
            <w:tcMar>
              <w:bottom w:w="0" w:type="dxa"/>
            </w:tcMar>
            <w:vAlign w:val="center"/>
          </w:tcPr>
          <w:p>
            <w:pPr>
              <w:pStyle w:val="TableContents"/>
              <w:bidi w:val="0"/>
              <w:spacing w:before="0" w:after="0"/>
              <w:ind w:left="36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Jacqueline Zummo</w:t>
            </w:r>
          </w:p>
          <w:p>
            <w:pPr>
              <w:pStyle w:val="TableContents"/>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Chief R&amp;D Officer)</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2"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Adopted</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25, 2026)</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19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Sale</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19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Rule 10b5-1</w:t>
              <w:br/>
              <w:t>trading</w:t>
              <w:br/>
              <w:t xml:space="preserve">arrangement </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62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September 24, 2026 – </w:t>
              <w:br/>
              <w:t>June 30, 2028</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54" w:type="dxa"/>
            <w:tcBorders/>
            <w:shd w:fill="CCEEFF" w:val="clear"/>
            <w:tcMar>
              <w:bottom w:w="0" w:type="dxa"/>
            </w:tcMar>
            <w:vAlign w:val="center"/>
          </w:tcPr>
          <w:p>
            <w:pPr>
              <w:pStyle w:val="TableContents"/>
              <w:bidi w:val="0"/>
              <w:spacing w:before="0" w:after="283"/>
              <w:jc w:val="center"/>
              <w:rPr/>
            </w:pPr>
            <w:r>
              <w:rPr/>
              <w:t> </w:t>
            </w:r>
          </w:p>
        </w:tc>
        <w:tc>
          <w:tcPr>
            <w:tcW w:w="1253"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372,893</w:t>
            </w:r>
          </w:p>
        </w:tc>
        <w:tc>
          <w:tcPr>
            <w:tcW w:w="138"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0"/>
        <w:gridCol w:w="9935"/>
      </w:tblGrid>
      <w:tr>
        <w:trPr/>
        <w:tc>
          <w:tcPr>
            <w:tcW w:w="270" w:type="dxa"/>
            <w:tcBorders/>
            <w:vAlign w:val="center"/>
          </w:tcPr>
          <w:p>
            <w:pPr>
              <w:pStyle w:val="TableContents"/>
              <w:bidi w:val="0"/>
              <w:spacing w:before="0" w:after="283"/>
              <w:jc w:val="left"/>
              <w:rPr/>
            </w:pPr>
            <w:r>
              <w:rPr/>
              <w:t>(a)</w:t>
            </w:r>
          </w:p>
        </w:tc>
        <w:tc>
          <w:tcPr>
            <w:tcW w:w="9935" w:type="dxa"/>
            <w:tcBorders/>
            <w:vAlign w:val="center"/>
          </w:tcPr>
          <w:p>
            <w:pPr>
              <w:pStyle w:val="TableContents"/>
              <w:bidi w:val="0"/>
              <w:spacing w:before="0" w:after="283"/>
              <w:jc w:val="both"/>
              <w:rPr/>
            </w:pPr>
            <w:r>
              <w:rPr/>
              <w:t>On June 26, 2026, Jesse Shefferman modified a Rule 10b5-1 trading arrangement originally adopted on March 17, 2026. Pursuant to Rule 10b5-1, the modification was deemed a termination of the prior arrangement and the adoption of a new Rule 10b5-1 trading arrangement.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other director or officer of the Company adopted or terminated a “Rule 10b5-1 trading arrangement” or “non-Rule 10b5-1 trading arrangement,” as each term is defined in Item 408(a) of Regulation S-K, during the three months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9" w:name="a_015"/>
      <w:bookmarkEnd w:id="19"/>
      <w:r>
        <w:rPr>
          <w:rFonts w:ascii="Times New Roman;Times;Serif" w:hAnsi="Times New Roman;Times;Serif"/>
          <w:b/>
          <w:i w:val="false"/>
          <w:caps w:val="false"/>
          <w:smallCaps w:val="false"/>
          <w:sz w:val="20"/>
        </w:rPr>
        <w:t>Item 6.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exhibits filed as part of this Quarterly Report on Form 10-Q are set forth on the Exhibit Index, which Exhibit Index is incorporated herein by reference.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 w:name="a_016"/>
      <w:bookmarkEnd w:id="20"/>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16"/>
        <w:gridCol w:w="90"/>
        <w:gridCol w:w="9299"/>
      </w:tblGrid>
      <w:tr>
        <w:trPr/>
        <w:tc>
          <w:tcPr>
            <w:tcW w:w="816" w:type="dxa"/>
            <w:tcBorders>
              <w:bottom w:val="single" w:sz="12" w:space="0" w:color="000000"/>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Exhibit No.</w:t>
            </w:r>
          </w:p>
        </w:tc>
        <w:tc>
          <w:tcPr>
            <w:tcW w:w="90" w:type="dxa"/>
            <w:tcBorders/>
            <w:tcMar>
              <w:bottom w:w="0" w:type="dxa"/>
            </w:tcMar>
            <w:vAlign w:val="center"/>
          </w:tcPr>
          <w:p>
            <w:pPr>
              <w:pStyle w:val="TableContents"/>
              <w:bidi w:val="0"/>
              <w:spacing w:before="0" w:after="283"/>
              <w:jc w:val="both"/>
              <w:rPr/>
            </w:pPr>
            <w:r>
              <w:rPr/>
              <w:t> </w:t>
            </w:r>
          </w:p>
        </w:tc>
        <w:tc>
          <w:tcPr>
            <w:tcW w:w="9299" w:type="dxa"/>
            <w:tcBorders>
              <w:bottom w:val="single" w:sz="12" w:space="0" w:color="000000"/>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Description</w:t>
            </w:r>
          </w:p>
        </w:tc>
      </w:tr>
      <w:tr>
        <w:trPr/>
        <w:tc>
          <w:tcPr>
            <w:tcW w:w="816" w:type="dxa"/>
            <w:tcBorders/>
            <w:tcMar>
              <w:bottom w:w="0" w:type="dxa"/>
            </w:tcMar>
            <w:vAlign w:val="center"/>
          </w:tcPr>
          <w:p>
            <w:pPr>
              <w:pStyle w:val="TableContents"/>
              <w:bidi w:val="0"/>
              <w:spacing w:before="0" w:after="283"/>
              <w:jc w:val="both"/>
              <w:rPr/>
            </w:pPr>
            <w:r>
              <w:rPr/>
              <w:t> </w:t>
            </w:r>
          </w:p>
        </w:tc>
        <w:tc>
          <w:tcPr>
            <w:tcW w:w="90" w:type="dxa"/>
            <w:tcBorders/>
            <w:tcMar>
              <w:bottom w:w="0" w:type="dxa"/>
            </w:tcMar>
            <w:vAlign w:val="center"/>
          </w:tcPr>
          <w:p>
            <w:pPr>
              <w:pStyle w:val="TableContents"/>
              <w:bidi w:val="0"/>
              <w:spacing w:before="0" w:after="283"/>
              <w:jc w:val="both"/>
              <w:rPr/>
            </w:pPr>
            <w:r>
              <w:rPr/>
              <w:t> </w:t>
            </w:r>
          </w:p>
        </w:tc>
        <w:tc>
          <w:tcPr>
            <w:tcW w:w="9299" w:type="dxa"/>
            <w:tcBorders/>
            <w:tcMar>
              <w:bottom w:w="0" w:type="dxa"/>
            </w:tcMar>
            <w:vAlign w:val="center"/>
          </w:tcPr>
          <w:p>
            <w:pPr>
              <w:pStyle w:val="TableContents"/>
              <w:bidi w:val="0"/>
              <w:spacing w:before="0" w:after="283"/>
              <w:jc w:val="both"/>
              <w:rPr/>
            </w:pPr>
            <w:r>
              <w:rPr/>
              <w:t> </w:t>
            </w:r>
          </w:p>
        </w:tc>
      </w:tr>
      <w:tr>
        <w:trPr/>
        <w:tc>
          <w:tcPr>
            <w:tcW w:w="816"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w:t>
            </w:r>
          </w:p>
        </w:tc>
        <w:tc>
          <w:tcPr>
            <w:tcW w:w="90" w:type="dxa"/>
            <w:tcBorders/>
            <w:shd w:fill="CCEEFF" w:val="clear"/>
            <w:tcMar>
              <w:bottom w:w="0" w:type="dxa"/>
            </w:tcMar>
            <w:vAlign w:val="center"/>
          </w:tcPr>
          <w:p>
            <w:pPr>
              <w:pStyle w:val="TableContents"/>
              <w:bidi w:val="0"/>
              <w:spacing w:before="0" w:after="283"/>
              <w:jc w:val="both"/>
              <w:rPr/>
            </w:pPr>
            <w:r>
              <w:rPr/>
              <w:t> </w:t>
            </w:r>
          </w:p>
        </w:tc>
        <w:tc>
          <w:tcPr>
            <w:tcW w:w="9299" w:type="dxa"/>
            <w:tcBorders/>
            <w:shd w:fill="CCEEFF" w:val="clear"/>
            <w:tcMar>
              <w:bottom w:w="0" w:type="dxa"/>
            </w:tcMar>
            <w:vAlign w:val="center"/>
          </w:tcPr>
          <w:p>
            <w:pPr>
              <w:pStyle w:val="TableContents"/>
              <w:bidi w:val="0"/>
              <w:spacing w:before="0" w:after="283"/>
              <w:jc w:val="both"/>
              <w:rPr/>
            </w:pPr>
            <w:hyperlink r:id="rId2">
              <w:r>
                <w:rPr>
                  <w:rStyle w:val="InternetLink"/>
                  <w:rFonts w:ascii="Times New Roman;Times;Serif" w:hAnsi="Times New Roman;Times;Serif"/>
                  <w:sz w:val="20"/>
                </w:rPr>
                <w:t>Sixth Amended and Restated Certificate of Incorporation of the Company (incorporated by reference to Exhibit 3.1 to the Company’s Current Report on Form 8-K filed on October 27, 2014).</w:t>
              </w:r>
            </w:hyperlink>
          </w:p>
        </w:tc>
      </w:tr>
      <w:tr>
        <w:trPr/>
        <w:tc>
          <w:tcPr>
            <w:tcW w:w="816" w:type="dxa"/>
            <w:tcBorders/>
            <w:tcMar>
              <w:bottom w:w="0" w:type="dxa"/>
            </w:tcMar>
            <w:vAlign w:val="center"/>
          </w:tcPr>
          <w:p>
            <w:pPr>
              <w:pStyle w:val="TableContents"/>
              <w:bidi w:val="0"/>
              <w:spacing w:before="0" w:after="283"/>
              <w:jc w:val="both"/>
              <w:rPr/>
            </w:pPr>
            <w:r>
              <w:rPr/>
              <w:t> </w:t>
            </w:r>
          </w:p>
        </w:tc>
        <w:tc>
          <w:tcPr>
            <w:tcW w:w="90" w:type="dxa"/>
            <w:tcBorders/>
            <w:tcMar>
              <w:bottom w:w="0" w:type="dxa"/>
            </w:tcMar>
            <w:vAlign w:val="center"/>
          </w:tcPr>
          <w:p>
            <w:pPr>
              <w:pStyle w:val="TableContents"/>
              <w:bidi w:val="0"/>
              <w:spacing w:before="0" w:after="283"/>
              <w:jc w:val="both"/>
              <w:rPr/>
            </w:pPr>
            <w:r>
              <w:rPr/>
              <w:t> </w:t>
            </w:r>
          </w:p>
        </w:tc>
        <w:tc>
          <w:tcPr>
            <w:tcW w:w="9299" w:type="dxa"/>
            <w:tcBorders/>
            <w:tcMar>
              <w:bottom w:w="0" w:type="dxa"/>
            </w:tcMar>
            <w:vAlign w:val="center"/>
          </w:tcPr>
          <w:p>
            <w:pPr>
              <w:pStyle w:val="TableContents"/>
              <w:bidi w:val="0"/>
              <w:spacing w:before="0" w:after="283"/>
              <w:jc w:val="both"/>
              <w:rPr/>
            </w:pPr>
            <w:r>
              <w:rPr/>
              <w:t> </w:t>
            </w:r>
          </w:p>
        </w:tc>
      </w:tr>
      <w:tr>
        <w:trPr/>
        <w:tc>
          <w:tcPr>
            <w:tcW w:w="816"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3.2</w:t>
            </w:r>
          </w:p>
        </w:tc>
        <w:tc>
          <w:tcPr>
            <w:tcW w:w="90" w:type="dxa"/>
            <w:tcBorders/>
            <w:shd w:fill="CCEEFF" w:val="clear"/>
            <w:tcMar>
              <w:bottom w:w="0" w:type="dxa"/>
            </w:tcMar>
            <w:vAlign w:val="center"/>
          </w:tcPr>
          <w:p>
            <w:pPr>
              <w:pStyle w:val="TableContents"/>
              <w:bidi w:val="0"/>
              <w:spacing w:before="0" w:after="283"/>
              <w:jc w:val="both"/>
              <w:rPr/>
            </w:pPr>
            <w:r>
              <w:rPr/>
              <w:t> </w:t>
            </w:r>
          </w:p>
        </w:tc>
        <w:tc>
          <w:tcPr>
            <w:tcW w:w="9299" w:type="dxa"/>
            <w:tcBorders/>
            <w:shd w:fill="CCEEFF" w:val="clear"/>
            <w:tcMar>
              <w:bottom w:w="0" w:type="dxa"/>
            </w:tcMar>
            <w:vAlign w:val="center"/>
          </w:tcPr>
          <w:p>
            <w:pPr>
              <w:pStyle w:val="TableContents"/>
              <w:bidi w:val="0"/>
              <w:spacing w:before="0" w:after="283"/>
              <w:jc w:val="both"/>
              <w:rPr/>
            </w:pPr>
            <w:hyperlink r:id="rId3">
              <w:r>
                <w:rPr>
                  <w:rStyle w:val="InternetLink"/>
                  <w:rFonts w:ascii="Times New Roman;Times;Serif" w:hAnsi="Times New Roman;Times;Serif"/>
                  <w:sz w:val="20"/>
                </w:rPr>
                <w:t>Certificate of Amendment to the Sixth Amended and Restated Certificate of Incorporation (incorporated by reference to Exhibit 3.1 to the Registrant’s Current Report on Form 8-K, filed with the SEC on January 10, 2020).</w:t>
              </w:r>
            </w:hyperlink>
          </w:p>
        </w:tc>
      </w:tr>
      <w:tr>
        <w:trPr/>
        <w:tc>
          <w:tcPr>
            <w:tcW w:w="816" w:type="dxa"/>
            <w:tcBorders/>
            <w:tcMar>
              <w:bottom w:w="0" w:type="dxa"/>
            </w:tcMar>
            <w:vAlign w:val="center"/>
          </w:tcPr>
          <w:p>
            <w:pPr>
              <w:pStyle w:val="TableContents"/>
              <w:bidi w:val="0"/>
              <w:spacing w:before="0" w:after="283"/>
              <w:jc w:val="both"/>
              <w:rPr/>
            </w:pPr>
            <w:r>
              <w:rPr/>
              <w:t> </w:t>
            </w:r>
          </w:p>
        </w:tc>
        <w:tc>
          <w:tcPr>
            <w:tcW w:w="90" w:type="dxa"/>
            <w:tcBorders/>
            <w:tcMar>
              <w:bottom w:w="0" w:type="dxa"/>
            </w:tcMar>
            <w:vAlign w:val="center"/>
          </w:tcPr>
          <w:p>
            <w:pPr>
              <w:pStyle w:val="TableContents"/>
              <w:bidi w:val="0"/>
              <w:spacing w:before="0" w:after="283"/>
              <w:jc w:val="both"/>
              <w:rPr/>
            </w:pPr>
            <w:r>
              <w:rPr/>
              <w:t> </w:t>
            </w:r>
          </w:p>
        </w:tc>
        <w:tc>
          <w:tcPr>
            <w:tcW w:w="9299" w:type="dxa"/>
            <w:tcBorders/>
            <w:tcMar>
              <w:bottom w:w="0" w:type="dxa"/>
            </w:tcMar>
            <w:vAlign w:val="center"/>
          </w:tcPr>
          <w:p>
            <w:pPr>
              <w:pStyle w:val="TableContents"/>
              <w:bidi w:val="0"/>
              <w:spacing w:before="0" w:after="283"/>
              <w:jc w:val="both"/>
              <w:rPr/>
            </w:pPr>
            <w:r>
              <w:rPr/>
              <w:t> </w:t>
            </w:r>
          </w:p>
        </w:tc>
      </w:tr>
      <w:tr>
        <w:trPr/>
        <w:tc>
          <w:tcPr>
            <w:tcW w:w="816"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3.3</w:t>
            </w:r>
          </w:p>
        </w:tc>
        <w:tc>
          <w:tcPr>
            <w:tcW w:w="90" w:type="dxa"/>
            <w:tcBorders/>
            <w:shd w:fill="CCEEFF" w:val="clear"/>
            <w:tcMar>
              <w:bottom w:w="0" w:type="dxa"/>
            </w:tcMar>
            <w:vAlign w:val="center"/>
          </w:tcPr>
          <w:p>
            <w:pPr>
              <w:pStyle w:val="TableContents"/>
              <w:bidi w:val="0"/>
              <w:spacing w:before="0" w:after="283"/>
              <w:jc w:val="both"/>
              <w:rPr/>
            </w:pPr>
            <w:r>
              <w:rPr/>
              <w:t> </w:t>
            </w:r>
          </w:p>
        </w:tc>
        <w:tc>
          <w:tcPr>
            <w:tcW w:w="9299" w:type="dxa"/>
            <w:tcBorders/>
            <w:shd w:fill="CCEEFF" w:val="clear"/>
            <w:tcMar>
              <w:bottom w:w="0" w:type="dxa"/>
            </w:tcMar>
            <w:vAlign w:val="center"/>
          </w:tcPr>
          <w:p>
            <w:pPr>
              <w:pStyle w:val="TableContents"/>
              <w:bidi w:val="0"/>
              <w:spacing w:before="0" w:after="283"/>
              <w:jc w:val="both"/>
              <w:rPr/>
            </w:pPr>
            <w:hyperlink r:id="rId4">
              <w:r>
                <w:rPr>
                  <w:rStyle w:val="InternetLink"/>
                  <w:rFonts w:ascii="Times New Roman;Times;Serif" w:hAnsi="Times New Roman;Times;Serif"/>
                  <w:sz w:val="20"/>
                </w:rPr>
                <w:t>Second Certificate of Amendment to the Sixth Amended and Restated Certificate of Incorporation (incorporated by reference to Exhibit 3.3 to the Registrant’s Quarterly Report on Form 10-Q, filed with the SEC on May 13, 2020).</w:t>
              </w:r>
            </w:hyperlink>
          </w:p>
        </w:tc>
      </w:tr>
      <w:tr>
        <w:trPr/>
        <w:tc>
          <w:tcPr>
            <w:tcW w:w="816" w:type="dxa"/>
            <w:tcBorders/>
            <w:tcMar>
              <w:bottom w:w="0" w:type="dxa"/>
            </w:tcMar>
            <w:vAlign w:val="center"/>
          </w:tcPr>
          <w:p>
            <w:pPr>
              <w:pStyle w:val="TableContents"/>
              <w:bidi w:val="0"/>
              <w:spacing w:before="0" w:after="283"/>
              <w:jc w:val="both"/>
              <w:rPr/>
            </w:pPr>
            <w:r>
              <w:rPr/>
              <w:t> </w:t>
            </w:r>
          </w:p>
        </w:tc>
        <w:tc>
          <w:tcPr>
            <w:tcW w:w="90" w:type="dxa"/>
            <w:tcBorders/>
            <w:tcMar>
              <w:bottom w:w="0" w:type="dxa"/>
            </w:tcMar>
            <w:vAlign w:val="center"/>
          </w:tcPr>
          <w:p>
            <w:pPr>
              <w:pStyle w:val="TableContents"/>
              <w:bidi w:val="0"/>
              <w:spacing w:before="0" w:after="283"/>
              <w:jc w:val="both"/>
              <w:rPr/>
            </w:pPr>
            <w:r>
              <w:rPr/>
              <w:t> </w:t>
            </w:r>
          </w:p>
        </w:tc>
        <w:tc>
          <w:tcPr>
            <w:tcW w:w="9299" w:type="dxa"/>
            <w:tcBorders/>
            <w:tcMar>
              <w:bottom w:w="0" w:type="dxa"/>
            </w:tcMar>
            <w:vAlign w:val="center"/>
          </w:tcPr>
          <w:p>
            <w:pPr>
              <w:pStyle w:val="TableContents"/>
              <w:bidi w:val="0"/>
              <w:spacing w:before="0" w:after="283"/>
              <w:jc w:val="both"/>
              <w:rPr/>
            </w:pPr>
            <w:r>
              <w:rPr/>
              <w:t> </w:t>
            </w:r>
          </w:p>
        </w:tc>
      </w:tr>
      <w:tr>
        <w:trPr/>
        <w:tc>
          <w:tcPr>
            <w:tcW w:w="816" w:type="dxa"/>
            <w:tcBorders/>
            <w:shd w:fill="CCEEFF" w:val="clear"/>
            <w:tcMar>
              <w:bottom w:w="0" w:type="dxa"/>
            </w:tcMar>
            <w:vAlign w:val="center"/>
          </w:tcPr>
          <w:p>
            <w:pPr>
              <w:pStyle w:val="TableContents"/>
              <w:bidi w:val="0"/>
              <w:spacing w:before="0" w:after="283"/>
              <w:jc w:val="both"/>
              <w:rPr/>
            </w:pPr>
            <w:r>
              <w:rPr>
                <w:rFonts w:ascii="Times New Roman;Times;Serif" w:hAnsi="Times New Roman;Times;Serif"/>
                <w:sz w:val="20"/>
              </w:rPr>
              <w:t>3.4</w:t>
            </w:r>
            <w:r>
              <w:rPr/>
              <w:t>*</w:t>
            </w:r>
          </w:p>
        </w:tc>
        <w:tc>
          <w:tcPr>
            <w:tcW w:w="90" w:type="dxa"/>
            <w:tcBorders/>
            <w:shd w:fill="CCEEFF" w:val="clear"/>
            <w:tcMar>
              <w:bottom w:w="0" w:type="dxa"/>
            </w:tcMar>
            <w:vAlign w:val="center"/>
          </w:tcPr>
          <w:p>
            <w:pPr>
              <w:pStyle w:val="TableContents"/>
              <w:bidi w:val="0"/>
              <w:spacing w:before="0" w:after="283"/>
              <w:jc w:val="both"/>
              <w:rPr/>
            </w:pPr>
            <w:r>
              <w:rPr/>
              <w:t> </w:t>
            </w:r>
          </w:p>
        </w:tc>
        <w:tc>
          <w:tcPr>
            <w:tcW w:w="9299" w:type="dxa"/>
            <w:tcBorders/>
            <w:shd w:fill="CCEEFF" w:val="clear"/>
            <w:tcMar>
              <w:bottom w:w="0" w:type="dxa"/>
            </w:tcMar>
            <w:vAlign w:val="center"/>
          </w:tcPr>
          <w:p>
            <w:pPr>
              <w:pStyle w:val="TableContents"/>
              <w:bidi w:val="0"/>
              <w:spacing w:before="0" w:after="0"/>
              <w:ind w:left="0" w:right="0" w:hanging="0"/>
              <w:jc w:val="both"/>
              <w:rPr/>
            </w:pPr>
            <w:hyperlink w:anchor="ea029860001ex3-4.htm">
              <w:r>
                <w:rPr>
                  <w:rStyle w:val="InternetLink"/>
                  <w:rFonts w:ascii="Times New Roman;Times;Serif" w:hAnsi="Times New Roman;Times;Serif"/>
                  <w:b w:val="false"/>
                  <w:i w:val="false"/>
                  <w:caps w:val="false"/>
                  <w:smallCaps w:val="false"/>
                  <w:sz w:val="20"/>
                </w:rPr>
                <w:t>Third Certificate of Amendment to the Sixth Amended and Restated Certificate of Incorporation.</w:t>
              </w:r>
            </w:hyperlink>
          </w:p>
        </w:tc>
      </w:tr>
      <w:tr>
        <w:trPr/>
        <w:tc>
          <w:tcPr>
            <w:tcW w:w="816" w:type="dxa"/>
            <w:tcBorders/>
            <w:tcMar>
              <w:bottom w:w="0" w:type="dxa"/>
            </w:tcMar>
            <w:vAlign w:val="center"/>
          </w:tcPr>
          <w:p>
            <w:pPr>
              <w:pStyle w:val="TableContents"/>
              <w:bidi w:val="0"/>
              <w:spacing w:before="0" w:after="283"/>
              <w:jc w:val="both"/>
              <w:rPr/>
            </w:pPr>
            <w:r>
              <w:rPr/>
              <w:t> </w:t>
            </w:r>
          </w:p>
        </w:tc>
        <w:tc>
          <w:tcPr>
            <w:tcW w:w="90" w:type="dxa"/>
            <w:tcBorders/>
            <w:tcMar>
              <w:bottom w:w="0" w:type="dxa"/>
            </w:tcMar>
            <w:vAlign w:val="center"/>
          </w:tcPr>
          <w:p>
            <w:pPr>
              <w:pStyle w:val="TableContents"/>
              <w:bidi w:val="0"/>
              <w:spacing w:before="0" w:after="283"/>
              <w:jc w:val="both"/>
              <w:rPr/>
            </w:pPr>
            <w:r>
              <w:rPr/>
              <w:t> </w:t>
            </w:r>
          </w:p>
        </w:tc>
        <w:tc>
          <w:tcPr>
            <w:tcW w:w="9299" w:type="dxa"/>
            <w:tcBorders/>
            <w:tcMar>
              <w:bottom w:w="0" w:type="dxa"/>
            </w:tcMar>
            <w:vAlign w:val="center"/>
          </w:tcPr>
          <w:p>
            <w:pPr>
              <w:pStyle w:val="TableContents"/>
              <w:bidi w:val="0"/>
              <w:spacing w:before="0" w:after="283"/>
              <w:jc w:val="both"/>
              <w:rPr/>
            </w:pPr>
            <w:r>
              <w:rPr/>
              <w:t> </w:t>
            </w:r>
          </w:p>
        </w:tc>
      </w:tr>
      <w:tr>
        <w:trPr/>
        <w:tc>
          <w:tcPr>
            <w:tcW w:w="816" w:type="dxa"/>
            <w:tcBorders/>
            <w:shd w:fill="CCEEFF" w:val="clear"/>
            <w:tcMar>
              <w:bottom w:w="0" w:type="dxa"/>
            </w:tcMar>
            <w:vAlign w:val="center"/>
          </w:tcPr>
          <w:p>
            <w:pPr>
              <w:pStyle w:val="TableContents"/>
              <w:bidi w:val="0"/>
              <w:spacing w:before="0" w:after="283"/>
              <w:jc w:val="both"/>
              <w:rPr/>
            </w:pPr>
            <w:r>
              <w:rPr/>
              <w:t>3.5</w:t>
            </w:r>
          </w:p>
        </w:tc>
        <w:tc>
          <w:tcPr>
            <w:tcW w:w="90" w:type="dxa"/>
            <w:tcBorders/>
            <w:shd w:fill="CCEEFF" w:val="clear"/>
            <w:tcMar>
              <w:bottom w:w="0" w:type="dxa"/>
            </w:tcMar>
            <w:vAlign w:val="center"/>
          </w:tcPr>
          <w:p>
            <w:pPr>
              <w:pStyle w:val="TableContents"/>
              <w:bidi w:val="0"/>
              <w:spacing w:before="0" w:after="283"/>
              <w:jc w:val="both"/>
              <w:rPr/>
            </w:pPr>
            <w:r>
              <w:rPr/>
              <w:t> </w:t>
            </w:r>
          </w:p>
        </w:tc>
        <w:tc>
          <w:tcPr>
            <w:tcW w:w="9299" w:type="dxa"/>
            <w:tcBorders/>
            <w:shd w:fill="CCEEFF" w:val="clear"/>
            <w:tcMar>
              <w:bottom w:w="0" w:type="dxa"/>
            </w:tcMar>
            <w:vAlign w:val="center"/>
          </w:tcPr>
          <w:p>
            <w:pPr>
              <w:pStyle w:val="TableContents"/>
              <w:bidi w:val="0"/>
              <w:spacing w:before="0" w:after="283"/>
              <w:jc w:val="both"/>
              <w:rPr/>
            </w:pPr>
            <w:hyperlink r:id="rId5">
              <w:r>
                <w:rPr>
                  <w:rStyle w:val="InternetLink"/>
                </w:rPr>
                <w:t>Certificate of Designation of Preferences, Rights and Limitations of Series 1 Convertible Preferred Stock (incorporated by reference to Exhibit 3.2 to the Registrant’s Current Report on Form 8-K, filed with the SEC on January 10, 2020).</w:t>
              </w:r>
            </w:hyperlink>
          </w:p>
        </w:tc>
      </w:tr>
      <w:tr>
        <w:trPr/>
        <w:tc>
          <w:tcPr>
            <w:tcW w:w="816" w:type="dxa"/>
            <w:tcBorders/>
            <w:tcMar>
              <w:bottom w:w="0" w:type="dxa"/>
            </w:tcMar>
            <w:vAlign w:val="center"/>
          </w:tcPr>
          <w:p>
            <w:pPr>
              <w:pStyle w:val="TableContents"/>
              <w:bidi w:val="0"/>
              <w:spacing w:before="0" w:after="283"/>
              <w:jc w:val="both"/>
              <w:rPr/>
            </w:pPr>
            <w:r>
              <w:rPr/>
              <w:t> </w:t>
            </w:r>
          </w:p>
        </w:tc>
        <w:tc>
          <w:tcPr>
            <w:tcW w:w="90" w:type="dxa"/>
            <w:tcBorders/>
            <w:tcMar>
              <w:bottom w:w="0" w:type="dxa"/>
            </w:tcMar>
            <w:vAlign w:val="center"/>
          </w:tcPr>
          <w:p>
            <w:pPr>
              <w:pStyle w:val="TableContents"/>
              <w:bidi w:val="0"/>
              <w:spacing w:before="0" w:after="283"/>
              <w:jc w:val="both"/>
              <w:rPr/>
            </w:pPr>
            <w:r>
              <w:rPr/>
              <w:t> </w:t>
            </w:r>
          </w:p>
        </w:tc>
        <w:tc>
          <w:tcPr>
            <w:tcW w:w="9299" w:type="dxa"/>
            <w:tcBorders/>
            <w:tcMar>
              <w:bottom w:w="0" w:type="dxa"/>
            </w:tcMar>
            <w:vAlign w:val="center"/>
          </w:tcPr>
          <w:p>
            <w:pPr>
              <w:pStyle w:val="TableContents"/>
              <w:bidi w:val="0"/>
              <w:spacing w:before="0" w:after="283"/>
              <w:jc w:val="both"/>
              <w:rPr/>
            </w:pPr>
            <w:r>
              <w:rPr/>
              <w:t> </w:t>
            </w:r>
          </w:p>
        </w:tc>
      </w:tr>
      <w:tr>
        <w:trPr/>
        <w:tc>
          <w:tcPr>
            <w:tcW w:w="816"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3.6</w:t>
            </w:r>
          </w:p>
        </w:tc>
        <w:tc>
          <w:tcPr>
            <w:tcW w:w="90" w:type="dxa"/>
            <w:tcBorders/>
            <w:shd w:fill="CCEEFF" w:val="clear"/>
            <w:tcMar>
              <w:bottom w:w="0" w:type="dxa"/>
            </w:tcMar>
            <w:vAlign w:val="center"/>
          </w:tcPr>
          <w:p>
            <w:pPr>
              <w:pStyle w:val="TableContents"/>
              <w:bidi w:val="0"/>
              <w:spacing w:before="0" w:after="283"/>
              <w:jc w:val="both"/>
              <w:rPr/>
            </w:pPr>
            <w:r>
              <w:rPr/>
              <w:t> </w:t>
            </w:r>
          </w:p>
        </w:tc>
        <w:tc>
          <w:tcPr>
            <w:tcW w:w="9299" w:type="dxa"/>
            <w:tcBorders/>
            <w:shd w:fill="CCEEFF" w:val="clear"/>
            <w:tcMar>
              <w:bottom w:w="0" w:type="dxa"/>
            </w:tcMar>
            <w:vAlign w:val="center"/>
          </w:tcPr>
          <w:p>
            <w:pPr>
              <w:pStyle w:val="TableContents"/>
              <w:bidi w:val="0"/>
              <w:spacing w:before="0" w:after="283"/>
              <w:jc w:val="both"/>
              <w:rPr/>
            </w:pPr>
            <w:hyperlink r:id="rId6">
              <w:r>
                <w:rPr>
                  <w:rStyle w:val="InternetLink"/>
                  <w:rFonts w:ascii="Times New Roman;Times;Serif" w:hAnsi="Times New Roman;Times;Serif"/>
                  <w:sz w:val="20"/>
                </w:rPr>
                <w:t>Certificate of Amendment to the Certificate of Designation of Preferences, Rights and Limitations of Series 1 Convertible Non-Voting Preferred Stock (incorporated by reference to Exhibit 3.1 to the Registrant’s Current Report on Form 8-K, filed with the SEC on September 23, 2020).</w:t>
              </w:r>
            </w:hyperlink>
          </w:p>
        </w:tc>
      </w:tr>
      <w:tr>
        <w:trPr/>
        <w:tc>
          <w:tcPr>
            <w:tcW w:w="816" w:type="dxa"/>
            <w:tcBorders/>
            <w:tcMar>
              <w:bottom w:w="0" w:type="dxa"/>
            </w:tcMar>
            <w:vAlign w:val="center"/>
          </w:tcPr>
          <w:p>
            <w:pPr>
              <w:pStyle w:val="TableContents"/>
              <w:bidi w:val="0"/>
              <w:spacing w:before="0" w:after="283"/>
              <w:jc w:val="both"/>
              <w:rPr/>
            </w:pPr>
            <w:r>
              <w:rPr/>
              <w:t> </w:t>
            </w:r>
          </w:p>
        </w:tc>
        <w:tc>
          <w:tcPr>
            <w:tcW w:w="90" w:type="dxa"/>
            <w:tcBorders/>
            <w:tcMar>
              <w:bottom w:w="0" w:type="dxa"/>
            </w:tcMar>
            <w:vAlign w:val="center"/>
          </w:tcPr>
          <w:p>
            <w:pPr>
              <w:pStyle w:val="TableContents"/>
              <w:bidi w:val="0"/>
              <w:spacing w:before="0" w:after="283"/>
              <w:jc w:val="both"/>
              <w:rPr/>
            </w:pPr>
            <w:r>
              <w:rPr/>
              <w:t> </w:t>
            </w:r>
          </w:p>
        </w:tc>
        <w:tc>
          <w:tcPr>
            <w:tcW w:w="9299" w:type="dxa"/>
            <w:tcBorders/>
            <w:tcMar>
              <w:bottom w:w="0" w:type="dxa"/>
            </w:tcMar>
            <w:vAlign w:val="center"/>
          </w:tcPr>
          <w:p>
            <w:pPr>
              <w:pStyle w:val="TableContents"/>
              <w:bidi w:val="0"/>
              <w:spacing w:before="0" w:after="283"/>
              <w:jc w:val="both"/>
              <w:rPr/>
            </w:pPr>
            <w:r>
              <w:rPr/>
              <w:t> </w:t>
            </w:r>
          </w:p>
        </w:tc>
      </w:tr>
      <w:tr>
        <w:trPr/>
        <w:tc>
          <w:tcPr>
            <w:tcW w:w="816" w:type="dxa"/>
            <w:tcBorders/>
            <w:shd w:fill="CCEEFF" w:val="clear"/>
            <w:tcMar>
              <w:bottom w:w="0" w:type="dxa"/>
            </w:tcMar>
            <w:vAlign w:val="center"/>
          </w:tcPr>
          <w:p>
            <w:pPr>
              <w:pStyle w:val="TableContents"/>
              <w:bidi w:val="0"/>
              <w:spacing w:before="0" w:after="283"/>
              <w:jc w:val="both"/>
              <w:rPr/>
            </w:pPr>
            <w:r>
              <w:rPr/>
              <w:t>3.7*</w:t>
            </w:r>
          </w:p>
        </w:tc>
        <w:tc>
          <w:tcPr>
            <w:tcW w:w="90" w:type="dxa"/>
            <w:tcBorders/>
            <w:shd w:fill="CCEEFF" w:val="clear"/>
            <w:tcMar>
              <w:bottom w:w="0" w:type="dxa"/>
            </w:tcMar>
            <w:vAlign w:val="center"/>
          </w:tcPr>
          <w:p>
            <w:pPr>
              <w:pStyle w:val="TableContents"/>
              <w:bidi w:val="0"/>
              <w:spacing w:before="0" w:after="283"/>
              <w:jc w:val="both"/>
              <w:rPr/>
            </w:pPr>
            <w:r>
              <w:rPr/>
              <w:t> </w:t>
            </w:r>
          </w:p>
        </w:tc>
        <w:tc>
          <w:tcPr>
            <w:tcW w:w="9299" w:type="dxa"/>
            <w:tcBorders/>
            <w:shd w:fill="CCEEFF" w:val="clear"/>
            <w:tcMar>
              <w:bottom w:w="0" w:type="dxa"/>
            </w:tcMar>
            <w:vAlign w:val="center"/>
          </w:tcPr>
          <w:p>
            <w:pPr>
              <w:pStyle w:val="TableContents"/>
              <w:bidi w:val="0"/>
              <w:spacing w:before="0" w:after="283"/>
              <w:jc w:val="both"/>
              <w:rPr/>
            </w:pPr>
            <w:hyperlink w:anchor="ea029860001ex3-7.htm">
              <w:r>
                <w:rPr>
                  <w:rStyle w:val="InternetLink"/>
                </w:rPr>
                <w:t>Composite Amended and Restated Certificate of Incorporation of the Company.</w:t>
              </w:r>
            </w:hyperlink>
          </w:p>
        </w:tc>
      </w:tr>
      <w:tr>
        <w:trPr/>
        <w:tc>
          <w:tcPr>
            <w:tcW w:w="816" w:type="dxa"/>
            <w:tcBorders/>
            <w:tcMar>
              <w:bottom w:w="0" w:type="dxa"/>
            </w:tcMar>
            <w:vAlign w:val="center"/>
          </w:tcPr>
          <w:p>
            <w:pPr>
              <w:pStyle w:val="TableContents"/>
              <w:bidi w:val="0"/>
              <w:spacing w:before="0" w:after="283"/>
              <w:jc w:val="both"/>
              <w:rPr/>
            </w:pPr>
            <w:r>
              <w:rPr/>
              <w:t> </w:t>
            </w:r>
          </w:p>
        </w:tc>
        <w:tc>
          <w:tcPr>
            <w:tcW w:w="90" w:type="dxa"/>
            <w:tcBorders/>
            <w:tcMar>
              <w:bottom w:w="0" w:type="dxa"/>
            </w:tcMar>
            <w:vAlign w:val="center"/>
          </w:tcPr>
          <w:p>
            <w:pPr>
              <w:pStyle w:val="TableContents"/>
              <w:bidi w:val="0"/>
              <w:spacing w:before="0" w:after="283"/>
              <w:jc w:val="both"/>
              <w:rPr/>
            </w:pPr>
            <w:r>
              <w:rPr/>
              <w:t> </w:t>
            </w:r>
          </w:p>
        </w:tc>
        <w:tc>
          <w:tcPr>
            <w:tcW w:w="9299" w:type="dxa"/>
            <w:tcBorders/>
            <w:tcMar>
              <w:bottom w:w="0" w:type="dxa"/>
            </w:tcMar>
            <w:vAlign w:val="center"/>
          </w:tcPr>
          <w:p>
            <w:pPr>
              <w:pStyle w:val="TableContents"/>
              <w:bidi w:val="0"/>
              <w:spacing w:before="0" w:after="283"/>
              <w:jc w:val="both"/>
              <w:rPr/>
            </w:pPr>
            <w:r>
              <w:rPr/>
              <w:t> </w:t>
            </w:r>
          </w:p>
        </w:tc>
      </w:tr>
      <w:tr>
        <w:trPr/>
        <w:tc>
          <w:tcPr>
            <w:tcW w:w="816" w:type="dxa"/>
            <w:tcBorders/>
            <w:shd w:fill="CCEEFF" w:val="clear"/>
            <w:tcMar>
              <w:bottom w:w="0" w:type="dxa"/>
            </w:tcMar>
            <w:vAlign w:val="center"/>
          </w:tcPr>
          <w:p>
            <w:pPr>
              <w:pStyle w:val="TableContents"/>
              <w:bidi w:val="0"/>
              <w:spacing w:before="0" w:after="283"/>
              <w:jc w:val="both"/>
              <w:rPr/>
            </w:pPr>
            <w:r>
              <w:rPr/>
              <w:t>3.8</w:t>
            </w:r>
          </w:p>
        </w:tc>
        <w:tc>
          <w:tcPr>
            <w:tcW w:w="90" w:type="dxa"/>
            <w:tcBorders/>
            <w:shd w:fill="CCEEFF" w:val="clear"/>
            <w:tcMar>
              <w:bottom w:w="0" w:type="dxa"/>
            </w:tcMar>
            <w:vAlign w:val="center"/>
          </w:tcPr>
          <w:p>
            <w:pPr>
              <w:pStyle w:val="TableContents"/>
              <w:bidi w:val="0"/>
              <w:spacing w:before="0" w:after="283"/>
              <w:jc w:val="both"/>
              <w:rPr/>
            </w:pPr>
            <w:r>
              <w:rPr/>
              <w:t> </w:t>
            </w:r>
          </w:p>
        </w:tc>
        <w:tc>
          <w:tcPr>
            <w:tcW w:w="9299" w:type="dxa"/>
            <w:tcBorders/>
            <w:shd w:fill="CCEEFF" w:val="clear"/>
            <w:tcMar>
              <w:bottom w:w="0" w:type="dxa"/>
            </w:tcMar>
            <w:vAlign w:val="center"/>
          </w:tcPr>
          <w:p>
            <w:pPr>
              <w:pStyle w:val="TableContents"/>
              <w:bidi w:val="0"/>
              <w:spacing w:before="0" w:after="283"/>
              <w:jc w:val="both"/>
              <w:rPr/>
            </w:pPr>
            <w:hyperlink r:id="rId7">
              <w:r>
                <w:rPr>
                  <w:rStyle w:val="InternetLink"/>
                </w:rPr>
                <w:t>Second Amended and Restated Bylaws (incorporated by reference to Exhibit 3.2 to the Registrant’s Current Report on Form 8-K, filed with the SEC on August 3, 2017).</w:t>
              </w:r>
            </w:hyperlink>
            <w:r>
              <w:rPr/>
              <w:t> </w:t>
            </w:r>
          </w:p>
        </w:tc>
      </w:tr>
      <w:tr>
        <w:trPr/>
        <w:tc>
          <w:tcPr>
            <w:tcW w:w="816" w:type="dxa"/>
            <w:tcBorders/>
            <w:tcMar>
              <w:bottom w:w="0" w:type="dxa"/>
            </w:tcMar>
            <w:vAlign w:val="center"/>
          </w:tcPr>
          <w:p>
            <w:pPr>
              <w:pStyle w:val="TableContents"/>
              <w:bidi w:val="0"/>
              <w:spacing w:before="0" w:after="283"/>
              <w:jc w:val="both"/>
              <w:rPr/>
            </w:pPr>
            <w:r>
              <w:rPr/>
              <w:t> </w:t>
            </w:r>
          </w:p>
        </w:tc>
        <w:tc>
          <w:tcPr>
            <w:tcW w:w="90" w:type="dxa"/>
            <w:tcBorders/>
            <w:tcMar>
              <w:bottom w:w="0" w:type="dxa"/>
            </w:tcMar>
            <w:vAlign w:val="center"/>
          </w:tcPr>
          <w:p>
            <w:pPr>
              <w:pStyle w:val="TableContents"/>
              <w:bidi w:val="0"/>
              <w:spacing w:before="0" w:after="283"/>
              <w:jc w:val="both"/>
              <w:rPr/>
            </w:pPr>
            <w:r>
              <w:rPr/>
              <w:t> </w:t>
            </w:r>
          </w:p>
        </w:tc>
        <w:tc>
          <w:tcPr>
            <w:tcW w:w="9299" w:type="dxa"/>
            <w:tcBorders/>
            <w:tcMar>
              <w:bottom w:w="0" w:type="dxa"/>
            </w:tcMar>
            <w:vAlign w:val="center"/>
          </w:tcPr>
          <w:p>
            <w:pPr>
              <w:pStyle w:val="TableContents"/>
              <w:bidi w:val="0"/>
              <w:spacing w:before="0" w:after="283"/>
              <w:jc w:val="both"/>
              <w:rPr/>
            </w:pPr>
            <w:r>
              <w:rPr/>
              <w:t> </w:t>
            </w:r>
          </w:p>
        </w:tc>
      </w:tr>
      <w:tr>
        <w:trPr/>
        <w:tc>
          <w:tcPr>
            <w:tcW w:w="816"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10.1*†</w:t>
            </w:r>
          </w:p>
        </w:tc>
        <w:tc>
          <w:tcPr>
            <w:tcW w:w="90" w:type="dxa"/>
            <w:tcBorders/>
            <w:shd w:fill="CCEEFF" w:val="clear"/>
            <w:tcMar>
              <w:bottom w:w="0" w:type="dxa"/>
            </w:tcMar>
            <w:vAlign w:val="center"/>
          </w:tcPr>
          <w:p>
            <w:pPr>
              <w:pStyle w:val="TableContents"/>
              <w:bidi w:val="0"/>
              <w:spacing w:before="0" w:after="283"/>
              <w:jc w:val="both"/>
              <w:rPr/>
            </w:pPr>
            <w:r>
              <w:rPr/>
              <w:t> </w:t>
            </w:r>
          </w:p>
        </w:tc>
        <w:tc>
          <w:tcPr>
            <w:tcW w:w="9299" w:type="dxa"/>
            <w:tcBorders/>
            <w:shd w:fill="CCEEFF" w:val="clear"/>
            <w:tcMar>
              <w:bottom w:w="0" w:type="dxa"/>
            </w:tcMar>
            <w:vAlign w:val="center"/>
          </w:tcPr>
          <w:p>
            <w:pPr>
              <w:pStyle w:val="TableContents"/>
              <w:bidi w:val="0"/>
              <w:spacing w:before="0" w:after="283"/>
              <w:jc w:val="both"/>
              <w:rPr/>
            </w:pPr>
            <w:hyperlink w:anchor="ea029860001ex10-1.htm">
              <w:r>
                <w:rPr>
                  <w:rStyle w:val="InternetLink"/>
                </w:rPr>
                <w:t>Amendment No. 1 to the Company’s 2024 Equity Incentive Plan, as Amended.</w:t>
              </w:r>
            </w:hyperlink>
          </w:p>
        </w:tc>
      </w:tr>
      <w:tr>
        <w:trPr/>
        <w:tc>
          <w:tcPr>
            <w:tcW w:w="816" w:type="dxa"/>
            <w:tcBorders/>
            <w:tcMar>
              <w:bottom w:w="0" w:type="dxa"/>
            </w:tcMar>
            <w:vAlign w:val="center"/>
          </w:tcPr>
          <w:p>
            <w:pPr>
              <w:pStyle w:val="TableContents"/>
              <w:bidi w:val="0"/>
              <w:spacing w:before="0" w:after="283"/>
              <w:jc w:val="both"/>
              <w:rPr/>
            </w:pPr>
            <w:r>
              <w:rPr/>
              <w:t> </w:t>
            </w:r>
          </w:p>
        </w:tc>
        <w:tc>
          <w:tcPr>
            <w:tcW w:w="90" w:type="dxa"/>
            <w:tcBorders/>
            <w:tcMar>
              <w:bottom w:w="0" w:type="dxa"/>
            </w:tcMar>
            <w:vAlign w:val="center"/>
          </w:tcPr>
          <w:p>
            <w:pPr>
              <w:pStyle w:val="TableContents"/>
              <w:bidi w:val="0"/>
              <w:spacing w:before="0" w:after="283"/>
              <w:jc w:val="both"/>
              <w:rPr/>
            </w:pPr>
            <w:r>
              <w:rPr/>
              <w:t> </w:t>
            </w:r>
          </w:p>
        </w:tc>
        <w:tc>
          <w:tcPr>
            <w:tcW w:w="9299" w:type="dxa"/>
            <w:tcBorders/>
            <w:tcMar>
              <w:bottom w:w="0" w:type="dxa"/>
            </w:tcMar>
            <w:vAlign w:val="center"/>
          </w:tcPr>
          <w:p>
            <w:pPr>
              <w:pStyle w:val="TableContents"/>
              <w:bidi w:val="0"/>
              <w:spacing w:before="0" w:after="283"/>
              <w:jc w:val="both"/>
              <w:rPr/>
            </w:pPr>
            <w:r>
              <w:rPr/>
              <w:t> </w:t>
            </w:r>
          </w:p>
        </w:tc>
      </w:tr>
      <w:tr>
        <w:trPr/>
        <w:tc>
          <w:tcPr>
            <w:tcW w:w="816"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31.1*</w:t>
            </w:r>
          </w:p>
        </w:tc>
        <w:tc>
          <w:tcPr>
            <w:tcW w:w="90" w:type="dxa"/>
            <w:tcBorders/>
            <w:shd w:fill="CCEEFF" w:val="clear"/>
            <w:tcMar>
              <w:bottom w:w="0" w:type="dxa"/>
            </w:tcMar>
            <w:vAlign w:val="center"/>
          </w:tcPr>
          <w:p>
            <w:pPr>
              <w:pStyle w:val="TableContents"/>
              <w:bidi w:val="0"/>
              <w:spacing w:before="0" w:after="283"/>
              <w:jc w:val="both"/>
              <w:rPr/>
            </w:pPr>
            <w:r>
              <w:rPr/>
              <w:t> </w:t>
            </w:r>
          </w:p>
        </w:tc>
        <w:tc>
          <w:tcPr>
            <w:tcW w:w="9299" w:type="dxa"/>
            <w:tcBorders/>
            <w:shd w:fill="CCEEFF" w:val="clear"/>
            <w:tcMar>
              <w:bottom w:w="0" w:type="dxa"/>
            </w:tcMar>
            <w:vAlign w:val="center"/>
          </w:tcPr>
          <w:p>
            <w:pPr>
              <w:pStyle w:val="TableContents"/>
              <w:bidi w:val="0"/>
              <w:spacing w:before="0" w:after="283"/>
              <w:jc w:val="both"/>
              <w:rPr/>
            </w:pPr>
            <w:hyperlink w:anchor="ea029860001ex31-1.htm">
              <w:r>
                <w:rPr>
                  <w:rStyle w:val="InternetLink"/>
                  <w:rFonts w:ascii="Times New Roman;Times;Serif" w:hAnsi="Times New Roman;Times;Serif"/>
                  <w:sz w:val="20"/>
                </w:rPr>
                <w:t>Certification of Principal Executive Officer Required Under Rule 13a-14(a) and 15d-14(a) of the Securities Exchange Act of 1934, as amended.</w:t>
              </w:r>
            </w:hyperlink>
          </w:p>
        </w:tc>
      </w:tr>
      <w:tr>
        <w:trPr/>
        <w:tc>
          <w:tcPr>
            <w:tcW w:w="816" w:type="dxa"/>
            <w:tcBorders/>
            <w:tcMar>
              <w:bottom w:w="0" w:type="dxa"/>
            </w:tcMar>
            <w:vAlign w:val="center"/>
          </w:tcPr>
          <w:p>
            <w:pPr>
              <w:pStyle w:val="TableContents"/>
              <w:bidi w:val="0"/>
              <w:spacing w:before="0" w:after="283"/>
              <w:jc w:val="both"/>
              <w:rPr/>
            </w:pPr>
            <w:r>
              <w:rPr/>
              <w:t> </w:t>
            </w:r>
          </w:p>
        </w:tc>
        <w:tc>
          <w:tcPr>
            <w:tcW w:w="90" w:type="dxa"/>
            <w:tcBorders/>
            <w:tcMar>
              <w:bottom w:w="0" w:type="dxa"/>
            </w:tcMar>
            <w:vAlign w:val="center"/>
          </w:tcPr>
          <w:p>
            <w:pPr>
              <w:pStyle w:val="TableContents"/>
              <w:bidi w:val="0"/>
              <w:spacing w:before="0" w:after="283"/>
              <w:jc w:val="both"/>
              <w:rPr/>
            </w:pPr>
            <w:r>
              <w:rPr/>
              <w:t> </w:t>
            </w:r>
          </w:p>
        </w:tc>
        <w:tc>
          <w:tcPr>
            <w:tcW w:w="9299" w:type="dxa"/>
            <w:tcBorders/>
            <w:tcMar>
              <w:bottom w:w="0" w:type="dxa"/>
            </w:tcMar>
            <w:vAlign w:val="center"/>
          </w:tcPr>
          <w:p>
            <w:pPr>
              <w:pStyle w:val="TableContents"/>
              <w:bidi w:val="0"/>
              <w:spacing w:before="0" w:after="283"/>
              <w:jc w:val="both"/>
              <w:rPr/>
            </w:pPr>
            <w:r>
              <w:rPr/>
              <w:t> </w:t>
            </w:r>
          </w:p>
        </w:tc>
      </w:tr>
      <w:tr>
        <w:trPr/>
        <w:tc>
          <w:tcPr>
            <w:tcW w:w="816"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31.2*</w:t>
            </w:r>
          </w:p>
        </w:tc>
        <w:tc>
          <w:tcPr>
            <w:tcW w:w="90" w:type="dxa"/>
            <w:tcBorders/>
            <w:shd w:fill="CCEEFF" w:val="clear"/>
            <w:tcMar>
              <w:bottom w:w="0" w:type="dxa"/>
            </w:tcMar>
            <w:vAlign w:val="center"/>
          </w:tcPr>
          <w:p>
            <w:pPr>
              <w:pStyle w:val="TableContents"/>
              <w:bidi w:val="0"/>
              <w:spacing w:before="0" w:after="283"/>
              <w:jc w:val="both"/>
              <w:rPr/>
            </w:pPr>
            <w:r>
              <w:rPr/>
              <w:t> </w:t>
            </w:r>
          </w:p>
        </w:tc>
        <w:tc>
          <w:tcPr>
            <w:tcW w:w="9299" w:type="dxa"/>
            <w:tcBorders/>
            <w:shd w:fill="CCEEFF" w:val="clear"/>
            <w:tcMar>
              <w:bottom w:w="0" w:type="dxa"/>
            </w:tcMar>
            <w:vAlign w:val="center"/>
          </w:tcPr>
          <w:p>
            <w:pPr>
              <w:pStyle w:val="TableContents"/>
              <w:bidi w:val="0"/>
              <w:spacing w:before="0" w:after="283"/>
              <w:jc w:val="both"/>
              <w:rPr/>
            </w:pPr>
            <w:hyperlink w:anchor="ea029860001ex31-2.htm">
              <w:r>
                <w:rPr>
                  <w:rStyle w:val="InternetLink"/>
                  <w:rFonts w:ascii="Times New Roman;Times;Serif" w:hAnsi="Times New Roman;Times;Serif"/>
                  <w:sz w:val="20"/>
                </w:rPr>
                <w:t>Certification of Principal Financial Officer Required Under Rule 13a-14(a) and 15d-14(a) of the Securities Exchange Act of 1934, as amended.</w:t>
              </w:r>
            </w:hyperlink>
          </w:p>
        </w:tc>
      </w:tr>
      <w:tr>
        <w:trPr/>
        <w:tc>
          <w:tcPr>
            <w:tcW w:w="816" w:type="dxa"/>
            <w:tcBorders/>
            <w:tcMar>
              <w:bottom w:w="0" w:type="dxa"/>
            </w:tcMar>
            <w:vAlign w:val="center"/>
          </w:tcPr>
          <w:p>
            <w:pPr>
              <w:pStyle w:val="TableContents"/>
              <w:bidi w:val="0"/>
              <w:spacing w:before="0" w:after="283"/>
              <w:jc w:val="both"/>
              <w:rPr/>
            </w:pPr>
            <w:r>
              <w:rPr/>
              <w:t> </w:t>
            </w:r>
          </w:p>
        </w:tc>
        <w:tc>
          <w:tcPr>
            <w:tcW w:w="90" w:type="dxa"/>
            <w:tcBorders/>
            <w:tcMar>
              <w:bottom w:w="0" w:type="dxa"/>
            </w:tcMar>
            <w:vAlign w:val="center"/>
          </w:tcPr>
          <w:p>
            <w:pPr>
              <w:pStyle w:val="TableContents"/>
              <w:bidi w:val="0"/>
              <w:spacing w:before="0" w:after="283"/>
              <w:jc w:val="both"/>
              <w:rPr/>
            </w:pPr>
            <w:r>
              <w:rPr/>
              <w:t> </w:t>
            </w:r>
          </w:p>
        </w:tc>
        <w:tc>
          <w:tcPr>
            <w:tcW w:w="9299" w:type="dxa"/>
            <w:tcBorders/>
            <w:tcMar>
              <w:bottom w:w="0" w:type="dxa"/>
            </w:tcMar>
            <w:vAlign w:val="center"/>
          </w:tcPr>
          <w:p>
            <w:pPr>
              <w:pStyle w:val="TableContents"/>
              <w:bidi w:val="0"/>
              <w:spacing w:before="0" w:after="283"/>
              <w:jc w:val="both"/>
              <w:rPr/>
            </w:pPr>
            <w:r>
              <w:rPr/>
              <w:t> </w:t>
            </w:r>
          </w:p>
        </w:tc>
      </w:tr>
      <w:tr>
        <w:trPr/>
        <w:tc>
          <w:tcPr>
            <w:tcW w:w="816"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32.1**</w:t>
            </w:r>
          </w:p>
        </w:tc>
        <w:tc>
          <w:tcPr>
            <w:tcW w:w="90" w:type="dxa"/>
            <w:tcBorders/>
            <w:shd w:fill="CCEEFF" w:val="clear"/>
            <w:tcMar>
              <w:bottom w:w="0" w:type="dxa"/>
            </w:tcMar>
            <w:vAlign w:val="center"/>
          </w:tcPr>
          <w:p>
            <w:pPr>
              <w:pStyle w:val="TableContents"/>
              <w:bidi w:val="0"/>
              <w:spacing w:before="0" w:after="283"/>
              <w:jc w:val="both"/>
              <w:rPr/>
            </w:pPr>
            <w:r>
              <w:rPr/>
              <w:t> </w:t>
            </w:r>
          </w:p>
        </w:tc>
        <w:tc>
          <w:tcPr>
            <w:tcW w:w="9299" w:type="dxa"/>
            <w:tcBorders/>
            <w:shd w:fill="CCEEFF" w:val="clear"/>
            <w:tcMar>
              <w:bottom w:w="0" w:type="dxa"/>
            </w:tcMar>
            <w:vAlign w:val="center"/>
          </w:tcPr>
          <w:p>
            <w:pPr>
              <w:pStyle w:val="TableContents"/>
              <w:bidi w:val="0"/>
              <w:spacing w:before="0" w:after="283"/>
              <w:jc w:val="both"/>
              <w:rPr/>
            </w:pPr>
            <w:hyperlink w:anchor="ea029860001ex32-1.htm">
              <w:r>
                <w:rPr>
                  <w:rStyle w:val="InternetLink"/>
                  <w:rFonts w:ascii="Times New Roman;Times;Serif" w:hAnsi="Times New Roman;Times;Serif"/>
                  <w:sz w:val="20"/>
                </w:rPr>
                <w:t>Certification of Principal Executive Officer and Principal Financial Officer Pursuant to 18 U.S.C. Section 1350, as Adopted Pursuant to Section 906 of the Sarbanes-Oxley Act of 2002.</w:t>
              </w:r>
            </w:hyperlink>
          </w:p>
        </w:tc>
      </w:tr>
      <w:tr>
        <w:trPr/>
        <w:tc>
          <w:tcPr>
            <w:tcW w:w="816" w:type="dxa"/>
            <w:tcBorders/>
            <w:tcMar>
              <w:bottom w:w="0" w:type="dxa"/>
            </w:tcMar>
            <w:vAlign w:val="center"/>
          </w:tcPr>
          <w:p>
            <w:pPr>
              <w:pStyle w:val="TableContents"/>
              <w:bidi w:val="0"/>
              <w:spacing w:before="0" w:after="283"/>
              <w:jc w:val="both"/>
              <w:rPr/>
            </w:pPr>
            <w:r>
              <w:rPr/>
              <w:t> </w:t>
            </w:r>
          </w:p>
        </w:tc>
        <w:tc>
          <w:tcPr>
            <w:tcW w:w="90" w:type="dxa"/>
            <w:tcBorders/>
            <w:tcMar>
              <w:bottom w:w="0" w:type="dxa"/>
            </w:tcMar>
            <w:vAlign w:val="center"/>
          </w:tcPr>
          <w:p>
            <w:pPr>
              <w:pStyle w:val="TableContents"/>
              <w:bidi w:val="0"/>
              <w:spacing w:before="0" w:after="283"/>
              <w:jc w:val="both"/>
              <w:rPr/>
            </w:pPr>
            <w:r>
              <w:rPr/>
              <w:t> </w:t>
            </w:r>
          </w:p>
        </w:tc>
        <w:tc>
          <w:tcPr>
            <w:tcW w:w="9299" w:type="dxa"/>
            <w:tcBorders/>
            <w:tcMar>
              <w:bottom w:w="0" w:type="dxa"/>
            </w:tcMar>
            <w:vAlign w:val="center"/>
          </w:tcPr>
          <w:p>
            <w:pPr>
              <w:pStyle w:val="TableContents"/>
              <w:bidi w:val="0"/>
              <w:spacing w:before="0" w:after="283"/>
              <w:jc w:val="both"/>
              <w:rPr/>
            </w:pPr>
            <w:r>
              <w:rPr/>
              <w:t> </w:t>
            </w:r>
          </w:p>
        </w:tc>
      </w:tr>
      <w:tr>
        <w:trPr/>
        <w:tc>
          <w:tcPr>
            <w:tcW w:w="816"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101.INS*</w:t>
            </w:r>
          </w:p>
        </w:tc>
        <w:tc>
          <w:tcPr>
            <w:tcW w:w="90" w:type="dxa"/>
            <w:tcBorders/>
            <w:shd w:fill="CCEEFF" w:val="clear"/>
            <w:tcMar>
              <w:bottom w:w="0" w:type="dxa"/>
            </w:tcMar>
            <w:vAlign w:val="center"/>
          </w:tcPr>
          <w:p>
            <w:pPr>
              <w:pStyle w:val="TableContents"/>
              <w:bidi w:val="0"/>
              <w:spacing w:before="0" w:after="283"/>
              <w:jc w:val="both"/>
              <w:rPr/>
            </w:pPr>
            <w:r>
              <w:rPr/>
              <w:t> </w:t>
            </w:r>
          </w:p>
        </w:tc>
        <w:tc>
          <w:tcPr>
            <w:tcW w:w="9299"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Interactive Data Files pursuant to Rule 405 of Regulation S-T formatted in Inline Extensible Business Reporting Language (“Inline XBRL”)</w:t>
            </w:r>
          </w:p>
        </w:tc>
      </w:tr>
      <w:tr>
        <w:trPr/>
        <w:tc>
          <w:tcPr>
            <w:tcW w:w="816" w:type="dxa"/>
            <w:tcBorders/>
            <w:tcMar>
              <w:bottom w:w="0" w:type="dxa"/>
            </w:tcMar>
            <w:vAlign w:val="center"/>
          </w:tcPr>
          <w:p>
            <w:pPr>
              <w:pStyle w:val="TableContents"/>
              <w:bidi w:val="0"/>
              <w:spacing w:before="0" w:after="283"/>
              <w:jc w:val="both"/>
              <w:rPr/>
            </w:pPr>
            <w:r>
              <w:rPr/>
              <w:t> </w:t>
            </w:r>
          </w:p>
        </w:tc>
        <w:tc>
          <w:tcPr>
            <w:tcW w:w="90" w:type="dxa"/>
            <w:tcBorders/>
            <w:tcMar>
              <w:bottom w:w="0" w:type="dxa"/>
            </w:tcMar>
            <w:vAlign w:val="center"/>
          </w:tcPr>
          <w:p>
            <w:pPr>
              <w:pStyle w:val="TableContents"/>
              <w:bidi w:val="0"/>
              <w:spacing w:before="0" w:after="283"/>
              <w:jc w:val="both"/>
              <w:rPr/>
            </w:pPr>
            <w:r>
              <w:rPr/>
              <w:t> </w:t>
            </w:r>
          </w:p>
        </w:tc>
        <w:tc>
          <w:tcPr>
            <w:tcW w:w="9299" w:type="dxa"/>
            <w:tcBorders/>
            <w:tcMar>
              <w:bottom w:w="0" w:type="dxa"/>
            </w:tcMar>
            <w:vAlign w:val="center"/>
          </w:tcPr>
          <w:p>
            <w:pPr>
              <w:pStyle w:val="TableContents"/>
              <w:bidi w:val="0"/>
              <w:spacing w:before="0" w:after="283"/>
              <w:jc w:val="both"/>
              <w:rPr/>
            </w:pPr>
            <w:r>
              <w:rPr/>
              <w:t> </w:t>
            </w:r>
          </w:p>
        </w:tc>
      </w:tr>
      <w:tr>
        <w:trPr/>
        <w:tc>
          <w:tcPr>
            <w:tcW w:w="816"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101.SCH*</w:t>
            </w:r>
          </w:p>
        </w:tc>
        <w:tc>
          <w:tcPr>
            <w:tcW w:w="90" w:type="dxa"/>
            <w:tcBorders/>
            <w:shd w:fill="CCEEFF" w:val="clear"/>
            <w:tcMar>
              <w:bottom w:w="0" w:type="dxa"/>
            </w:tcMar>
            <w:vAlign w:val="center"/>
          </w:tcPr>
          <w:p>
            <w:pPr>
              <w:pStyle w:val="TableContents"/>
              <w:bidi w:val="0"/>
              <w:spacing w:before="0" w:after="283"/>
              <w:jc w:val="both"/>
              <w:rPr/>
            </w:pPr>
            <w:r>
              <w:rPr/>
              <w:t> </w:t>
            </w:r>
          </w:p>
        </w:tc>
        <w:tc>
          <w:tcPr>
            <w:tcW w:w="9299"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816" w:type="dxa"/>
            <w:tcBorders/>
            <w:tcMar>
              <w:bottom w:w="0" w:type="dxa"/>
            </w:tcMar>
            <w:vAlign w:val="center"/>
          </w:tcPr>
          <w:p>
            <w:pPr>
              <w:pStyle w:val="TableContents"/>
              <w:bidi w:val="0"/>
              <w:spacing w:before="0" w:after="283"/>
              <w:jc w:val="both"/>
              <w:rPr/>
            </w:pPr>
            <w:r>
              <w:rPr/>
              <w:t> </w:t>
            </w:r>
          </w:p>
        </w:tc>
        <w:tc>
          <w:tcPr>
            <w:tcW w:w="90" w:type="dxa"/>
            <w:tcBorders/>
            <w:tcMar>
              <w:bottom w:w="0" w:type="dxa"/>
            </w:tcMar>
            <w:vAlign w:val="center"/>
          </w:tcPr>
          <w:p>
            <w:pPr>
              <w:pStyle w:val="TableContents"/>
              <w:bidi w:val="0"/>
              <w:spacing w:before="0" w:after="283"/>
              <w:jc w:val="both"/>
              <w:rPr/>
            </w:pPr>
            <w:r>
              <w:rPr/>
              <w:t> </w:t>
            </w:r>
          </w:p>
        </w:tc>
        <w:tc>
          <w:tcPr>
            <w:tcW w:w="9299" w:type="dxa"/>
            <w:tcBorders/>
            <w:tcMar>
              <w:bottom w:w="0" w:type="dxa"/>
            </w:tcMar>
            <w:vAlign w:val="center"/>
          </w:tcPr>
          <w:p>
            <w:pPr>
              <w:pStyle w:val="TableContents"/>
              <w:bidi w:val="0"/>
              <w:spacing w:before="0" w:after="283"/>
              <w:jc w:val="both"/>
              <w:rPr/>
            </w:pPr>
            <w:r>
              <w:rPr/>
              <w:t> </w:t>
            </w:r>
          </w:p>
        </w:tc>
      </w:tr>
      <w:tr>
        <w:trPr/>
        <w:tc>
          <w:tcPr>
            <w:tcW w:w="816"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101.CAL*</w:t>
            </w:r>
          </w:p>
        </w:tc>
        <w:tc>
          <w:tcPr>
            <w:tcW w:w="90" w:type="dxa"/>
            <w:tcBorders/>
            <w:shd w:fill="CCEEFF" w:val="clear"/>
            <w:tcMar>
              <w:bottom w:w="0" w:type="dxa"/>
            </w:tcMar>
            <w:vAlign w:val="center"/>
          </w:tcPr>
          <w:p>
            <w:pPr>
              <w:pStyle w:val="TableContents"/>
              <w:bidi w:val="0"/>
              <w:spacing w:before="0" w:after="283"/>
              <w:jc w:val="both"/>
              <w:rPr/>
            </w:pPr>
            <w:r>
              <w:rPr/>
              <w:t> </w:t>
            </w:r>
          </w:p>
        </w:tc>
        <w:tc>
          <w:tcPr>
            <w:tcW w:w="9299"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816" w:type="dxa"/>
            <w:tcBorders/>
            <w:tcMar>
              <w:bottom w:w="0" w:type="dxa"/>
            </w:tcMar>
            <w:vAlign w:val="center"/>
          </w:tcPr>
          <w:p>
            <w:pPr>
              <w:pStyle w:val="TableContents"/>
              <w:bidi w:val="0"/>
              <w:spacing w:before="0" w:after="283"/>
              <w:jc w:val="both"/>
              <w:rPr/>
            </w:pPr>
            <w:r>
              <w:rPr/>
              <w:t> </w:t>
            </w:r>
          </w:p>
        </w:tc>
        <w:tc>
          <w:tcPr>
            <w:tcW w:w="90" w:type="dxa"/>
            <w:tcBorders/>
            <w:tcMar>
              <w:bottom w:w="0" w:type="dxa"/>
            </w:tcMar>
            <w:vAlign w:val="center"/>
          </w:tcPr>
          <w:p>
            <w:pPr>
              <w:pStyle w:val="TableContents"/>
              <w:bidi w:val="0"/>
              <w:spacing w:before="0" w:after="283"/>
              <w:jc w:val="both"/>
              <w:rPr/>
            </w:pPr>
            <w:r>
              <w:rPr/>
              <w:t> </w:t>
            </w:r>
          </w:p>
        </w:tc>
        <w:tc>
          <w:tcPr>
            <w:tcW w:w="9299" w:type="dxa"/>
            <w:tcBorders/>
            <w:tcMar>
              <w:bottom w:w="0" w:type="dxa"/>
            </w:tcMar>
            <w:vAlign w:val="center"/>
          </w:tcPr>
          <w:p>
            <w:pPr>
              <w:pStyle w:val="TableContents"/>
              <w:bidi w:val="0"/>
              <w:spacing w:before="0" w:after="283"/>
              <w:jc w:val="both"/>
              <w:rPr/>
            </w:pPr>
            <w:r>
              <w:rPr/>
              <w:t> </w:t>
            </w:r>
          </w:p>
        </w:tc>
      </w:tr>
      <w:tr>
        <w:trPr/>
        <w:tc>
          <w:tcPr>
            <w:tcW w:w="816"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101.DEF*</w:t>
            </w:r>
          </w:p>
        </w:tc>
        <w:tc>
          <w:tcPr>
            <w:tcW w:w="90" w:type="dxa"/>
            <w:tcBorders/>
            <w:shd w:fill="CCEEFF" w:val="clear"/>
            <w:tcMar>
              <w:bottom w:w="0" w:type="dxa"/>
            </w:tcMar>
            <w:vAlign w:val="center"/>
          </w:tcPr>
          <w:p>
            <w:pPr>
              <w:pStyle w:val="TableContents"/>
              <w:bidi w:val="0"/>
              <w:spacing w:before="0" w:after="283"/>
              <w:jc w:val="both"/>
              <w:rPr/>
            </w:pPr>
            <w:r>
              <w:rPr/>
              <w:t> </w:t>
            </w:r>
          </w:p>
        </w:tc>
        <w:tc>
          <w:tcPr>
            <w:tcW w:w="9299"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816" w:type="dxa"/>
            <w:tcBorders/>
            <w:tcMar>
              <w:bottom w:w="0" w:type="dxa"/>
            </w:tcMar>
            <w:vAlign w:val="center"/>
          </w:tcPr>
          <w:p>
            <w:pPr>
              <w:pStyle w:val="TableContents"/>
              <w:bidi w:val="0"/>
              <w:spacing w:before="0" w:after="283"/>
              <w:jc w:val="both"/>
              <w:rPr/>
            </w:pPr>
            <w:r>
              <w:rPr/>
              <w:t> </w:t>
            </w:r>
          </w:p>
        </w:tc>
        <w:tc>
          <w:tcPr>
            <w:tcW w:w="90" w:type="dxa"/>
            <w:tcBorders/>
            <w:tcMar>
              <w:bottom w:w="0" w:type="dxa"/>
            </w:tcMar>
            <w:vAlign w:val="center"/>
          </w:tcPr>
          <w:p>
            <w:pPr>
              <w:pStyle w:val="TableContents"/>
              <w:bidi w:val="0"/>
              <w:spacing w:before="0" w:after="283"/>
              <w:jc w:val="both"/>
              <w:rPr/>
            </w:pPr>
            <w:r>
              <w:rPr/>
              <w:t> </w:t>
            </w:r>
          </w:p>
        </w:tc>
        <w:tc>
          <w:tcPr>
            <w:tcW w:w="9299" w:type="dxa"/>
            <w:tcBorders/>
            <w:tcMar>
              <w:bottom w:w="0" w:type="dxa"/>
            </w:tcMar>
            <w:vAlign w:val="center"/>
          </w:tcPr>
          <w:p>
            <w:pPr>
              <w:pStyle w:val="TableContents"/>
              <w:bidi w:val="0"/>
              <w:spacing w:before="0" w:after="283"/>
              <w:jc w:val="both"/>
              <w:rPr/>
            </w:pPr>
            <w:r>
              <w:rPr/>
              <w:t> </w:t>
            </w:r>
          </w:p>
        </w:tc>
      </w:tr>
      <w:tr>
        <w:trPr/>
        <w:tc>
          <w:tcPr>
            <w:tcW w:w="816"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101.LAB*</w:t>
            </w:r>
          </w:p>
        </w:tc>
        <w:tc>
          <w:tcPr>
            <w:tcW w:w="90" w:type="dxa"/>
            <w:tcBorders/>
            <w:shd w:fill="CCEEFF" w:val="clear"/>
            <w:tcMar>
              <w:bottom w:w="0" w:type="dxa"/>
            </w:tcMar>
            <w:vAlign w:val="center"/>
          </w:tcPr>
          <w:p>
            <w:pPr>
              <w:pStyle w:val="TableContents"/>
              <w:bidi w:val="0"/>
              <w:spacing w:before="0" w:after="283"/>
              <w:jc w:val="both"/>
              <w:rPr/>
            </w:pPr>
            <w:r>
              <w:rPr/>
              <w:t> </w:t>
            </w:r>
          </w:p>
        </w:tc>
        <w:tc>
          <w:tcPr>
            <w:tcW w:w="9299"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816" w:type="dxa"/>
            <w:tcBorders/>
            <w:tcMar>
              <w:bottom w:w="0" w:type="dxa"/>
            </w:tcMar>
            <w:vAlign w:val="center"/>
          </w:tcPr>
          <w:p>
            <w:pPr>
              <w:pStyle w:val="TableContents"/>
              <w:bidi w:val="0"/>
              <w:spacing w:before="0" w:after="283"/>
              <w:jc w:val="both"/>
              <w:rPr/>
            </w:pPr>
            <w:r>
              <w:rPr/>
              <w:t> </w:t>
            </w:r>
          </w:p>
        </w:tc>
        <w:tc>
          <w:tcPr>
            <w:tcW w:w="90" w:type="dxa"/>
            <w:tcBorders/>
            <w:tcMar>
              <w:bottom w:w="0" w:type="dxa"/>
            </w:tcMar>
            <w:vAlign w:val="center"/>
          </w:tcPr>
          <w:p>
            <w:pPr>
              <w:pStyle w:val="TableContents"/>
              <w:bidi w:val="0"/>
              <w:spacing w:before="0" w:after="283"/>
              <w:jc w:val="both"/>
              <w:rPr/>
            </w:pPr>
            <w:r>
              <w:rPr/>
              <w:t> </w:t>
            </w:r>
          </w:p>
        </w:tc>
        <w:tc>
          <w:tcPr>
            <w:tcW w:w="9299" w:type="dxa"/>
            <w:tcBorders/>
            <w:tcMar>
              <w:bottom w:w="0" w:type="dxa"/>
            </w:tcMar>
            <w:vAlign w:val="center"/>
          </w:tcPr>
          <w:p>
            <w:pPr>
              <w:pStyle w:val="TableContents"/>
              <w:bidi w:val="0"/>
              <w:spacing w:before="0" w:after="283"/>
              <w:jc w:val="both"/>
              <w:rPr/>
            </w:pPr>
            <w:r>
              <w:rPr/>
              <w:t> </w:t>
            </w:r>
          </w:p>
        </w:tc>
      </w:tr>
      <w:tr>
        <w:trPr/>
        <w:tc>
          <w:tcPr>
            <w:tcW w:w="816"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101.PRE*</w:t>
            </w:r>
          </w:p>
        </w:tc>
        <w:tc>
          <w:tcPr>
            <w:tcW w:w="90" w:type="dxa"/>
            <w:tcBorders/>
            <w:shd w:fill="CCEEFF" w:val="clear"/>
            <w:tcMar>
              <w:bottom w:w="0" w:type="dxa"/>
            </w:tcMar>
            <w:vAlign w:val="center"/>
          </w:tcPr>
          <w:p>
            <w:pPr>
              <w:pStyle w:val="TableContents"/>
              <w:bidi w:val="0"/>
              <w:spacing w:before="0" w:after="283"/>
              <w:jc w:val="both"/>
              <w:rPr/>
            </w:pPr>
            <w:r>
              <w:rPr/>
              <w:t> </w:t>
            </w:r>
          </w:p>
        </w:tc>
        <w:tc>
          <w:tcPr>
            <w:tcW w:w="9299"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816" w:type="dxa"/>
            <w:tcBorders/>
            <w:tcMar>
              <w:bottom w:w="0" w:type="dxa"/>
            </w:tcMar>
            <w:vAlign w:val="center"/>
          </w:tcPr>
          <w:p>
            <w:pPr>
              <w:pStyle w:val="TableContents"/>
              <w:bidi w:val="0"/>
              <w:spacing w:before="0" w:after="283"/>
              <w:jc w:val="both"/>
              <w:rPr/>
            </w:pPr>
            <w:r>
              <w:rPr/>
              <w:t> </w:t>
            </w:r>
          </w:p>
        </w:tc>
        <w:tc>
          <w:tcPr>
            <w:tcW w:w="90" w:type="dxa"/>
            <w:tcBorders/>
            <w:tcMar>
              <w:bottom w:w="0" w:type="dxa"/>
            </w:tcMar>
            <w:vAlign w:val="center"/>
          </w:tcPr>
          <w:p>
            <w:pPr>
              <w:pStyle w:val="TableContents"/>
              <w:bidi w:val="0"/>
              <w:spacing w:before="0" w:after="283"/>
              <w:jc w:val="both"/>
              <w:rPr/>
            </w:pPr>
            <w:r>
              <w:rPr/>
              <w:t> </w:t>
            </w:r>
          </w:p>
        </w:tc>
        <w:tc>
          <w:tcPr>
            <w:tcW w:w="9299" w:type="dxa"/>
            <w:tcBorders/>
            <w:tcMar>
              <w:bottom w:w="0" w:type="dxa"/>
            </w:tcMar>
            <w:vAlign w:val="center"/>
          </w:tcPr>
          <w:p>
            <w:pPr>
              <w:pStyle w:val="TableContents"/>
              <w:bidi w:val="0"/>
              <w:spacing w:before="0" w:after="283"/>
              <w:jc w:val="both"/>
              <w:rPr/>
            </w:pPr>
            <w:r>
              <w:rPr/>
              <w:t> </w:t>
            </w:r>
          </w:p>
        </w:tc>
      </w:tr>
      <w:tr>
        <w:trPr/>
        <w:tc>
          <w:tcPr>
            <w:tcW w:w="816"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104</w:t>
            </w:r>
          </w:p>
        </w:tc>
        <w:tc>
          <w:tcPr>
            <w:tcW w:w="90" w:type="dxa"/>
            <w:tcBorders/>
            <w:shd w:fill="CCEEFF" w:val="clear"/>
            <w:tcMar>
              <w:bottom w:w="0" w:type="dxa"/>
            </w:tcMar>
            <w:vAlign w:val="center"/>
          </w:tcPr>
          <w:p>
            <w:pPr>
              <w:pStyle w:val="TableContents"/>
              <w:bidi w:val="0"/>
              <w:spacing w:before="0" w:after="283"/>
              <w:jc w:val="both"/>
              <w:rPr/>
            </w:pPr>
            <w:r>
              <w:rPr/>
              <w:t> </w:t>
            </w:r>
          </w:p>
        </w:tc>
        <w:tc>
          <w:tcPr>
            <w:tcW w:w="9299"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Cover Page Interactive Data File (formatted in Inline XBRL and contained in Exhibit 101)</w:t>
            </w:r>
          </w:p>
        </w:tc>
      </w:tr>
    </w:tbl>
    <w:p>
      <w:pPr>
        <w:pStyle w:val="TextBody"/>
        <w:bidi w:val="0"/>
        <w:spacing w:before="0" w:after="0"/>
        <w:ind w:left="0" w:right="0" w:hanging="0"/>
        <w:jc w:val="left"/>
        <w:rPr>
          <w:caps w:val="false"/>
          <w:smallCaps w:val="false"/>
        </w:rPr>
      </w:pPr>
      <w:r>
        <w:rPr>
          <w:caps w:val="false"/>
          <w:smallCaps w:val="false"/>
        </w:rPr>
        <w:t> </w:t>
      </w:r>
    </w:p>
    <w:tbl>
      <w:tblPr>
        <w:tblW w:w="5995" w:type="dxa"/>
        <w:jc w:val="left"/>
        <w:tblInd w:w="0" w:type="dxa"/>
        <w:tblLayout w:type="fixed"/>
        <w:tblCellMar>
          <w:top w:w="0" w:type="dxa"/>
          <w:left w:w="0" w:type="dxa"/>
          <w:bottom w:w="0" w:type="dxa"/>
          <w:right w:w="0" w:type="dxa"/>
        </w:tblCellMar>
      </w:tblPr>
      <w:tblGrid>
        <w:gridCol w:w="275"/>
        <w:gridCol w:w="5720"/>
      </w:tblGrid>
      <w:tr>
        <w:trPr/>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7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Exhibits filed herewith.</w:t>
            </w:r>
          </w:p>
        </w:tc>
      </w:tr>
      <w:tr>
        <w:trPr/>
        <w:tc>
          <w:tcPr>
            <w:tcW w:w="275" w:type="dxa"/>
            <w:tcBorders/>
            <w:vAlign w:val="center"/>
          </w:tcPr>
          <w:p>
            <w:pPr>
              <w:pStyle w:val="TableContents"/>
              <w:bidi w:val="0"/>
              <w:spacing w:before="0" w:after="283"/>
              <w:jc w:val="left"/>
              <w:rPr/>
            </w:pPr>
            <w:r>
              <w:rPr/>
              <w:t> </w:t>
            </w:r>
          </w:p>
        </w:tc>
        <w:tc>
          <w:tcPr>
            <w:tcW w:w="5720" w:type="dxa"/>
            <w:tcBorders/>
            <w:vAlign w:val="center"/>
          </w:tcPr>
          <w:p>
            <w:pPr>
              <w:pStyle w:val="TableContents"/>
              <w:bidi w:val="0"/>
              <w:spacing w:before="0" w:after="283"/>
              <w:jc w:val="both"/>
              <w:rPr/>
            </w:pPr>
            <w:r>
              <w:rPr/>
              <w:t> </w:t>
            </w:r>
          </w:p>
        </w:tc>
      </w:tr>
      <w:tr>
        <w:trPr/>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7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Exhibits furnished herewith.</w:t>
            </w:r>
          </w:p>
        </w:tc>
      </w:tr>
      <w:tr>
        <w:trPr/>
        <w:tc>
          <w:tcPr>
            <w:tcW w:w="275" w:type="dxa"/>
            <w:tcBorders/>
            <w:vAlign w:val="center"/>
          </w:tcPr>
          <w:p>
            <w:pPr>
              <w:pStyle w:val="TableContents"/>
              <w:bidi w:val="0"/>
              <w:spacing w:before="0" w:after="283"/>
              <w:jc w:val="left"/>
              <w:rPr/>
            </w:pPr>
            <w:r>
              <w:rPr/>
              <w:t> </w:t>
            </w:r>
          </w:p>
        </w:tc>
        <w:tc>
          <w:tcPr>
            <w:tcW w:w="5720" w:type="dxa"/>
            <w:tcBorders/>
            <w:vAlign w:val="center"/>
          </w:tcPr>
          <w:p>
            <w:pPr>
              <w:pStyle w:val="TableContents"/>
              <w:bidi w:val="0"/>
              <w:spacing w:before="0" w:after="283"/>
              <w:jc w:val="both"/>
              <w:rPr/>
            </w:pPr>
            <w:r>
              <w:rPr/>
              <w:t> </w:t>
            </w:r>
          </w:p>
        </w:tc>
      </w:tr>
      <w:tr>
        <w:trPr/>
        <w:tc>
          <w:tcPr>
            <w:tcW w:w="275" w:type="dxa"/>
            <w:tcBorders/>
            <w:vAlign w:val="center"/>
          </w:tcPr>
          <w:p>
            <w:pPr>
              <w:pStyle w:val="TableContents"/>
              <w:bidi w:val="0"/>
              <w:spacing w:before="0" w:after="283"/>
              <w:jc w:val="left"/>
              <w:rPr/>
            </w:pPr>
            <w:r>
              <w:rPr/>
              <w:t>†</w:t>
            </w:r>
          </w:p>
        </w:tc>
        <w:tc>
          <w:tcPr>
            <w:tcW w:w="57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Indicates management contract or compensatory plan or arrangement.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1" w:name="a_017"/>
      <w:bookmarkEnd w:id="21"/>
      <w:r>
        <w:rPr>
          <w:rFonts w:ascii="Times New Roman;Times;Serif" w:hAnsi="Times New Roman;Times;Serif"/>
          <w:b/>
          <w:i w:val="false"/>
          <w:caps w:val="false"/>
          <w:smallCaps w:val="false"/>
          <w:sz w:val="20"/>
        </w:rPr>
        <w:t>SIGNATURES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360"/>
        <w:jc w:val="both"/>
        <w:rPr>
          <w:caps w:val="false"/>
          <w:smallCaps w:val="false"/>
        </w:rPr>
      </w:pPr>
      <w:r>
        <w:rPr>
          <w:caps w:val="false"/>
          <w:smallCaps w:val="false"/>
        </w:rPr>
        <w:t> </w:t>
      </w:r>
    </w:p>
    <w:tbl>
      <w:tblPr>
        <w:tblW w:w="4989" w:type="dxa"/>
        <w:jc w:val="left"/>
        <w:tblInd w:w="0" w:type="dxa"/>
        <w:tblLayout w:type="fixed"/>
        <w:tblCellMar>
          <w:top w:w="0" w:type="dxa"/>
          <w:left w:w="0" w:type="dxa"/>
          <w:bottom w:w="0" w:type="dxa"/>
          <w:right w:w="0" w:type="dxa"/>
        </w:tblCellMar>
      </w:tblPr>
      <w:tblGrid>
        <w:gridCol w:w="1895"/>
        <w:gridCol w:w="443"/>
        <w:gridCol w:w="2651"/>
      </w:tblGrid>
      <w:tr>
        <w:trPr/>
        <w:tc>
          <w:tcPr>
            <w:tcW w:w="1895" w:type="dxa"/>
            <w:tcBorders/>
            <w:vAlign w:val="center"/>
          </w:tcPr>
          <w:p>
            <w:pPr>
              <w:pStyle w:val="TableContents"/>
              <w:bidi w:val="0"/>
              <w:spacing w:before="0" w:after="283"/>
              <w:jc w:val="both"/>
              <w:rPr/>
            </w:pPr>
            <w:r>
              <w:rPr/>
              <w:t> </w:t>
            </w:r>
          </w:p>
        </w:tc>
        <w:tc>
          <w:tcPr>
            <w:tcW w:w="309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PROTARA THERAPEUTICS, INC.</w:t>
            </w:r>
          </w:p>
        </w:tc>
      </w:tr>
      <w:tr>
        <w:trPr/>
        <w:tc>
          <w:tcPr>
            <w:tcW w:w="1895" w:type="dxa"/>
            <w:tcBorders/>
            <w:vAlign w:val="center"/>
          </w:tcPr>
          <w:p>
            <w:pPr>
              <w:pStyle w:val="TableContents"/>
              <w:bidi w:val="0"/>
              <w:spacing w:before="0" w:after="283"/>
              <w:jc w:val="both"/>
              <w:rPr/>
            </w:pPr>
            <w:r>
              <w:rPr/>
              <w:t> </w:t>
            </w:r>
          </w:p>
        </w:tc>
        <w:tc>
          <w:tcPr>
            <w:tcW w:w="3094" w:type="dxa"/>
            <w:gridSpan w:val="2"/>
            <w:tcBorders/>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Date: August 11, 2026</w:t>
            </w:r>
          </w:p>
        </w:tc>
        <w:tc>
          <w:tcPr>
            <w:tcW w:w="443" w:type="dxa"/>
            <w:tcBorders/>
            <w:vAlign w:val="center"/>
          </w:tcPr>
          <w:p>
            <w:pPr>
              <w:pStyle w:val="TableContents"/>
              <w:bidi w:val="0"/>
              <w:spacing w:before="0" w:after="283"/>
              <w:jc w:val="left"/>
              <w:rPr/>
            </w:pPr>
            <w:r>
              <w:rPr>
                <w:rFonts w:ascii="Times New Roman;Times;Serif" w:hAnsi="Times New Roman;Times;Serif"/>
                <w:sz w:val="20"/>
              </w:rPr>
              <w:t>By:</w:t>
            </w:r>
            <w:r>
              <w:rPr/>
              <w:t> </w:t>
            </w:r>
          </w:p>
        </w:tc>
        <w:tc>
          <w:tcPr>
            <w:tcW w:w="2651" w:type="dxa"/>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Jesse Shefferman</w:t>
            </w:r>
          </w:p>
        </w:tc>
      </w:tr>
      <w:tr>
        <w:trPr/>
        <w:tc>
          <w:tcPr>
            <w:tcW w:w="1895" w:type="dxa"/>
            <w:tcBorders/>
            <w:vAlign w:val="center"/>
          </w:tcPr>
          <w:p>
            <w:pPr>
              <w:pStyle w:val="TableContents"/>
              <w:bidi w:val="0"/>
              <w:spacing w:before="0" w:after="283"/>
              <w:jc w:val="both"/>
              <w:rPr/>
            </w:pPr>
            <w:r>
              <w:rPr/>
              <w:t> </w:t>
            </w:r>
          </w:p>
        </w:tc>
        <w:tc>
          <w:tcPr>
            <w:tcW w:w="443" w:type="dxa"/>
            <w:tcBorders/>
            <w:vAlign w:val="center"/>
          </w:tcPr>
          <w:p>
            <w:pPr>
              <w:pStyle w:val="TableContents"/>
              <w:bidi w:val="0"/>
              <w:spacing w:before="0" w:after="283"/>
              <w:jc w:val="left"/>
              <w:rPr/>
            </w:pPr>
            <w:r>
              <w:rPr/>
              <w:t> </w:t>
            </w:r>
          </w:p>
        </w:tc>
        <w:tc>
          <w:tcPr>
            <w:tcW w:w="265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Jesse Shefferman</w:t>
            </w:r>
          </w:p>
        </w:tc>
      </w:tr>
      <w:tr>
        <w:trPr/>
        <w:tc>
          <w:tcPr>
            <w:tcW w:w="1895" w:type="dxa"/>
            <w:tcBorders/>
            <w:vAlign w:val="center"/>
          </w:tcPr>
          <w:p>
            <w:pPr>
              <w:pStyle w:val="TableContents"/>
              <w:bidi w:val="0"/>
              <w:spacing w:before="0" w:after="283"/>
              <w:jc w:val="left"/>
              <w:rPr/>
            </w:pPr>
            <w:r>
              <w:rPr/>
              <w:t> </w:t>
            </w:r>
          </w:p>
        </w:tc>
        <w:tc>
          <w:tcPr>
            <w:tcW w:w="443" w:type="dxa"/>
            <w:tcBorders/>
            <w:vAlign w:val="center"/>
          </w:tcPr>
          <w:p>
            <w:pPr>
              <w:pStyle w:val="TableContents"/>
              <w:bidi w:val="0"/>
              <w:spacing w:before="0" w:after="283"/>
              <w:jc w:val="left"/>
              <w:rPr/>
            </w:pPr>
            <w:r>
              <w:rPr/>
              <w:t> </w:t>
            </w:r>
          </w:p>
        </w:tc>
        <w:tc>
          <w:tcPr>
            <w:tcW w:w="265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Chief Executive Officer</w:t>
            </w:r>
          </w:p>
        </w:tc>
      </w:tr>
      <w:tr>
        <w:trPr/>
        <w:tc>
          <w:tcPr>
            <w:tcW w:w="1895" w:type="dxa"/>
            <w:tcBorders/>
            <w:vAlign w:val="center"/>
          </w:tcPr>
          <w:p>
            <w:pPr>
              <w:pStyle w:val="TableContents"/>
              <w:bidi w:val="0"/>
              <w:spacing w:before="0" w:after="283"/>
              <w:jc w:val="both"/>
              <w:rPr/>
            </w:pPr>
            <w:r>
              <w:rPr/>
              <w:t> </w:t>
            </w:r>
          </w:p>
        </w:tc>
        <w:tc>
          <w:tcPr>
            <w:tcW w:w="443" w:type="dxa"/>
            <w:tcBorders/>
            <w:vAlign w:val="center"/>
          </w:tcPr>
          <w:p>
            <w:pPr>
              <w:pStyle w:val="TableContents"/>
              <w:bidi w:val="0"/>
              <w:spacing w:before="0" w:after="283"/>
              <w:jc w:val="left"/>
              <w:rPr/>
            </w:pPr>
            <w:r>
              <w:rPr/>
              <w:t> </w:t>
            </w:r>
          </w:p>
        </w:tc>
        <w:tc>
          <w:tcPr>
            <w:tcW w:w="2651"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(Principal Executive Officer)</w:t>
            </w:r>
          </w:p>
        </w:tc>
      </w:tr>
    </w:tbl>
    <w:p>
      <w:pPr>
        <w:pStyle w:val="TextBody"/>
        <w:bidi w:val="0"/>
        <w:spacing w:before="0" w:after="0"/>
        <w:ind w:left="0" w:right="0" w:hanging="0"/>
        <w:jc w:val="left"/>
        <w:rPr>
          <w:caps w:val="false"/>
          <w:smallCaps w:val="false"/>
        </w:rPr>
      </w:pPr>
      <w:r>
        <w:rPr>
          <w:caps w:val="false"/>
          <w:smallCaps w:val="false"/>
        </w:rPr>
        <w:t> </w:t>
      </w:r>
    </w:p>
    <w:tbl>
      <w:tblPr>
        <w:tblW w:w="4755" w:type="dxa"/>
        <w:jc w:val="left"/>
        <w:tblInd w:w="0" w:type="dxa"/>
        <w:tblLayout w:type="fixed"/>
        <w:tblCellMar>
          <w:top w:w="0" w:type="dxa"/>
          <w:left w:w="0" w:type="dxa"/>
          <w:bottom w:w="0" w:type="dxa"/>
          <w:right w:w="0" w:type="dxa"/>
        </w:tblCellMar>
      </w:tblPr>
      <w:tblGrid>
        <w:gridCol w:w="1895"/>
        <w:gridCol w:w="395"/>
        <w:gridCol w:w="2465"/>
      </w:tblGrid>
      <w:tr>
        <w:trPr/>
        <w:tc>
          <w:tcPr>
            <w:tcW w:w="18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Date: August 11, 2026</w:t>
            </w:r>
          </w:p>
        </w:tc>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w:t>
            </w:r>
          </w:p>
        </w:tc>
        <w:tc>
          <w:tcPr>
            <w:tcW w:w="2465" w:type="dxa"/>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Patrick Fabbio</w:t>
            </w:r>
          </w:p>
        </w:tc>
      </w:tr>
      <w:tr>
        <w:trPr/>
        <w:tc>
          <w:tcPr>
            <w:tcW w:w="1895" w:type="dxa"/>
            <w:tcBorders/>
            <w:vAlign w:val="center"/>
          </w:tcPr>
          <w:p>
            <w:pPr>
              <w:pStyle w:val="TableContents"/>
              <w:bidi w:val="0"/>
              <w:spacing w:before="0" w:after="283"/>
              <w:jc w:val="both"/>
              <w:rPr/>
            </w:pPr>
            <w:r>
              <w:rPr/>
              <w:t> </w:t>
            </w:r>
          </w:p>
        </w:tc>
        <w:tc>
          <w:tcPr>
            <w:tcW w:w="395" w:type="dxa"/>
            <w:tcBorders/>
            <w:vAlign w:val="center"/>
          </w:tcPr>
          <w:p>
            <w:pPr>
              <w:pStyle w:val="TableContents"/>
              <w:bidi w:val="0"/>
              <w:spacing w:before="0" w:after="283"/>
              <w:jc w:val="left"/>
              <w:rPr/>
            </w:pPr>
            <w:r>
              <w:rPr/>
              <w:t> </w:t>
            </w:r>
          </w:p>
        </w:tc>
        <w:tc>
          <w:tcPr>
            <w:tcW w:w="24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Patrick Fabbio</w:t>
            </w:r>
          </w:p>
        </w:tc>
      </w:tr>
      <w:tr>
        <w:trPr/>
        <w:tc>
          <w:tcPr>
            <w:tcW w:w="189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 </w:t>
            </w:r>
          </w:p>
        </w:tc>
        <w:tc>
          <w:tcPr>
            <w:tcW w:w="24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Chief Financial Officer</w:t>
            </w:r>
          </w:p>
        </w:tc>
      </w:tr>
      <w:tr>
        <w:trPr/>
        <w:tc>
          <w:tcPr>
            <w:tcW w:w="1895" w:type="dxa"/>
            <w:tcBorders/>
            <w:vAlign w:val="center"/>
          </w:tcPr>
          <w:p>
            <w:pPr>
              <w:pStyle w:val="TableContents"/>
              <w:bidi w:val="0"/>
              <w:spacing w:before="0" w:after="283"/>
              <w:jc w:val="both"/>
              <w:rPr/>
            </w:pPr>
            <w:r>
              <w:rPr/>
              <w:t> </w:t>
            </w:r>
          </w:p>
        </w:tc>
        <w:tc>
          <w:tcPr>
            <w:tcW w:w="395" w:type="dxa"/>
            <w:tcBorders/>
            <w:vAlign w:val="center"/>
          </w:tcPr>
          <w:p>
            <w:pPr>
              <w:pStyle w:val="TableContents"/>
              <w:bidi w:val="0"/>
              <w:spacing w:before="0" w:after="283"/>
              <w:jc w:val="left"/>
              <w:rPr/>
            </w:pPr>
            <w:r>
              <w:rPr/>
              <w:t> </w:t>
            </w:r>
          </w:p>
        </w:tc>
        <w:tc>
          <w:tcPr>
            <w:tcW w:w="2465"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(Principal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2" w:name="ea029860001ex3-4.htm"/>
      <w:bookmarkStart w:id="23" w:name="ksea029860001ex34"/>
      <w:bookmarkEnd w:id="22"/>
      <w:bookmarkEnd w:id="23"/>
      <w:r>
        <w:rPr>
          <w:rFonts w:ascii="Times New Roman;Times;Serif" w:hAnsi="Times New Roman;Times;Serif"/>
          <w:b/>
          <w:i w:val="false"/>
          <w:caps w:val="false"/>
          <w:smallCaps w:val="false"/>
          <w:sz w:val="20"/>
        </w:rPr>
        <w:t>Exhibit 3.4</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i w:val="false"/>
          <w:caps/>
          <w:sz w:val="20"/>
        </w:rPr>
      </w:pPr>
      <w:r>
        <w:rPr>
          <w:rFonts w:ascii="Times New Roman;Times;Serif" w:hAnsi="Times New Roman;Times;Serif"/>
          <w:b/>
          <w:i w:val="false"/>
          <w:caps/>
          <w:sz w:val="20"/>
        </w:rPr>
        <w:t xml:space="preserve">THIRD Certificate of Amendment to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Sixth aMENDED AND RESTATED CERTIFICATE OF INCORPORATION OF</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PROTARA THERAPEUTICS, INC.</w:t>
      </w:r>
    </w:p>
    <w:p>
      <w:pPr>
        <w:pStyle w:val="TextBody"/>
        <w:bidi w:val="0"/>
        <w:spacing w:before="0" w:after="0"/>
        <w:ind w:left="0" w:right="0" w:hanging="0"/>
        <w:jc w:val="left"/>
        <w:rPr>
          <w:smallCaps/>
        </w:rPr>
      </w:pPr>
      <w:r>
        <w:rPr>
          <w:small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Protara Therapeutics, Inc.</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caps w:val="false"/>
          <w:smallCaps w:val="false"/>
          <w:sz w:val="20"/>
        </w:rPr>
        <w:t>Corporation</w:t>
      </w:r>
      <w:r>
        <w:rPr>
          <w:rFonts w:ascii="Times New Roman;Times;Serif" w:hAnsi="Times New Roman;Times;Serif"/>
          <w:b w:val="false"/>
          <w:i w:val="false"/>
          <w:caps w:val="false"/>
          <w:smallCaps w:val="false"/>
          <w:sz w:val="20"/>
        </w:rPr>
        <w:t>”), a corporation organized and existing under and by virtue of the General Corporation Law of the State of Delaware (the “</w:t>
      </w:r>
      <w:r>
        <w:rPr>
          <w:rFonts w:ascii="Times New Roman;Times;Serif" w:hAnsi="Times New Roman;Times;Serif"/>
          <w:b/>
          <w:i/>
          <w:caps w:val="false"/>
          <w:smallCaps w:val="false"/>
          <w:sz w:val="20"/>
        </w:rPr>
        <w:t>DGCL</w:t>
      </w:r>
      <w:r>
        <w:rPr>
          <w:rFonts w:ascii="Times New Roman;Times;Serif" w:hAnsi="Times New Roman;Times;Serif"/>
          <w:b w:val="false"/>
          <w:i w:val="false"/>
          <w:caps w:val="false"/>
          <w:smallCaps w:val="false"/>
          <w:sz w:val="20"/>
        </w:rPr>
        <w:t>”), does hereby certify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First</w:t>
      </w:r>
      <w:r>
        <w:rPr>
          <w:rFonts w:ascii="Times New Roman;Times;Serif" w:hAnsi="Times New Roman;Times;Serif"/>
          <w:b w:val="false"/>
          <w:i w:val="false"/>
          <w:caps w:val="false"/>
          <w:smallCaps w:val="false"/>
          <w:sz w:val="20"/>
        </w:rPr>
        <w:t>: The name of the Corporation is Protara Therapeutics,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Second</w:t>
      </w:r>
      <w:r>
        <w:rPr>
          <w:rFonts w:ascii="Times New Roman;Times;Serif" w:hAnsi="Times New Roman;Times;Serif"/>
          <w:b w:val="false"/>
          <w:i w:val="false"/>
          <w:caps w:val="false"/>
          <w:smallCaps w:val="false"/>
          <w:sz w:val="20"/>
        </w:rPr>
        <w:t>: The date on which the Certificate of Incorporation of the Corporation was originally filed with the Secretary of State of Delaware is March 24, 2006, under the name “Proteon Therapeutics,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Third</w:t>
      </w:r>
      <w:r>
        <w:rPr>
          <w:rFonts w:ascii="Times New Roman;Times;Serif" w:hAnsi="Times New Roman;Times;Serif"/>
          <w:b w:val="false"/>
          <w:i w:val="false"/>
          <w:caps w:val="false"/>
          <w:smallCaps w:val="false"/>
          <w:sz w:val="20"/>
        </w:rPr>
        <w:t>: The amendments to the Sixth Amended and Restated Certificate of Incorporation of the Corporation, as heretofore amended (the “</w:t>
      </w:r>
      <w:r>
        <w:rPr>
          <w:rFonts w:ascii="Times New Roman;Times;Serif" w:hAnsi="Times New Roman;Times;Serif"/>
          <w:b/>
          <w:i/>
          <w:caps w:val="false"/>
          <w:smallCaps w:val="false"/>
          <w:sz w:val="20"/>
        </w:rPr>
        <w:t>Certificate of Incorporation”</w:t>
      </w:r>
      <w:r>
        <w:rPr>
          <w:rFonts w:ascii="Times New Roman;Times;Serif" w:hAnsi="Times New Roman;Times;Serif"/>
          <w:b w:val="false"/>
          <w:i w:val="false"/>
          <w:caps w:val="false"/>
          <w:smallCaps w:val="false"/>
          <w:sz w:val="20"/>
        </w:rPr>
        <w:t>), set forth in this Third Certificate of Amendment have been duly adopted in accordance with Section 242 of the General Corporation Law by the directors and the stockholders of the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Fourth</w:t>
      </w:r>
      <w:r>
        <w:rPr>
          <w:rFonts w:ascii="Times New Roman;Times;Serif" w:hAnsi="Times New Roman;Times;Serif"/>
          <w:b w:val="false"/>
          <w:i w:val="false"/>
          <w:caps w:val="false"/>
          <w:smallCaps w:val="false"/>
          <w:sz w:val="20"/>
        </w:rPr>
        <w:t>: The Certificate of Incorporation is hereby amended 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Amending Section 1 of Article Four to read in its entirety as follows: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Section 1. </w:t>
      </w:r>
      <w:r>
        <w:rPr>
          <w:rFonts w:ascii="Times New Roman;Times;Serif" w:hAnsi="Times New Roman;Times;Serif"/>
          <w:b w:val="false"/>
          <w:i w:val="false"/>
          <w:caps w:val="false"/>
          <w:smallCaps w:val="false"/>
          <w:sz w:val="20"/>
          <w:u w:val="single"/>
        </w:rPr>
        <w:t>Authorized Shares</w:t>
      </w:r>
      <w:r>
        <w:rPr>
          <w:rFonts w:ascii="Times New Roman;Times;Serif" w:hAnsi="Times New Roman;Times;Serif"/>
          <w:b w:val="false"/>
          <w:i w:val="false"/>
          <w:caps w:val="false"/>
          <w:smallCaps w:val="false"/>
          <w:sz w:val="20"/>
        </w:rPr>
        <w:t>. The total number of shares of all classes of capital stock which the Corporation shall have authority to issue is Two Hundred Ten million (210,000,000) shares, consisting of:</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Two Hundred million (200,000,000) shares of common stock, par value $0.001 per share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and</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Ten million (10,000,000) shares of undesignated preferred stock, par value $0.001 per share (the “</w:t>
      </w:r>
      <w:r>
        <w:rPr>
          <w:rFonts w:ascii="Times New Roman;Times;Serif" w:hAnsi="Times New Roman;Times;Serif"/>
          <w:b w:val="false"/>
          <w:i w:val="false"/>
          <w:caps w:val="false"/>
          <w:smallCaps w:val="false"/>
          <w:sz w:val="20"/>
          <w:u w:val="single"/>
        </w:rPr>
        <w:t>Preferred Stock</w:t>
      </w:r>
      <w:r>
        <w:rPr>
          <w:rFonts w:ascii="Times New Roman;Times;Serif" w:hAnsi="Times New Roman;Times;Serif"/>
          <w:b w:val="false"/>
          <w:i w:val="false"/>
          <w:caps w:val="false"/>
          <w:smallCaps w:val="false"/>
          <w:sz w:val="20"/>
        </w:rPr>
        <w:t>”).</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stock may be issued from time to time by the Corporation for such consideration as may be fixed by the board of directors of the Corporation (the “</w:t>
      </w:r>
      <w:r>
        <w:rPr>
          <w:rFonts w:ascii="Times New Roman;Times;Serif" w:hAnsi="Times New Roman;Times;Serif"/>
          <w:b w:val="false"/>
          <w:i w:val="false"/>
          <w:caps w:val="false"/>
          <w:smallCaps w:val="false"/>
          <w:sz w:val="20"/>
          <w:u w:val="single"/>
        </w:rPr>
        <w:t>Board of Directors</w:t>
      </w:r>
      <w:r>
        <w:rPr>
          <w:rFonts w:ascii="Times New Roman;Times;Serif" w:hAnsi="Times New Roman;Times;Serif"/>
          <w:b w:val="false"/>
          <w:i w:val="false"/>
          <w:caps w:val="false"/>
          <w:smallCaps w:val="false"/>
          <w:sz w:val="20"/>
        </w:rPr>
        <w:t>”). The following is a statement of the powers, designations, preferences, privileges, and relative rights in respect of each class of capital stock of the Corporation.”</w:t>
      </w:r>
    </w:p>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Adding a new Article Thirteen to read in its entirety as follows: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To the fullest extent permitted by the DGCL as it now exists or may hereafter be amended (but, in the case of any such amendment, only to the extent that such amendment permits the Corporation to provide broader indemnification rights than permitted prior thereto), no officer of the Corporation shall be personally liable to the Corporation or to any of its stockholders for monetary damages for breach of fiduciary duty as an officer, notwithstanding any provision of law imposing such liability; provided, however, that to the extent required from time to time by applicable law, this Article Thirteen shall not eliminate or limit the liability of an officer, to the extent such liability is provided by applicable law, (i) for any breach of the officer’s duty of loyalty to the corporation or its stockholders, (ii) for acts or omissions not in good faith or which involve intentional misconduct or a knowing violation of law or (iii) under for any transactions from which the officer derived an improper personal benefit.</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amendment to or repeal of this Article Thirteen shall apply to or have any effect on the liability or alleged liability of any officer for or with respect to any acts or omissions of such officer occurring prior to the effective date of such amendment or repeal.”</w:t>
      </w:r>
    </w:p>
    <w:p>
      <w:pPr>
        <w:pStyle w:val="TextBody"/>
        <w:bidi w:val="0"/>
        <w:spacing w:before="0" w:after="0"/>
        <w:ind w:left="0" w:right="0" w:hanging="0"/>
        <w:jc w:val="left"/>
        <w:rPr>
          <w:smallCaps/>
        </w:rPr>
      </w:pPr>
      <w:r>
        <w:rPr>
          <w:smallCaps/>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Fifth</w:t>
      </w:r>
      <w:r>
        <w:rPr>
          <w:rFonts w:ascii="Times New Roman;Times;Serif" w:hAnsi="Times New Roman;Times;Serif"/>
          <w:b w:val="false"/>
          <w:i w:val="false"/>
          <w:caps w:val="false"/>
          <w:smallCaps w:val="false"/>
          <w:sz w:val="20"/>
        </w:rPr>
        <w:t>: This Third Certificate of Amendment shall become effective upon filing with the Secretary of State of the State of Delaware.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smallCaps/>
        </w:rPr>
      </w:pPr>
      <w:r>
        <w:rPr>
          <w:smallCaps/>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In Witness Whereof</w:t>
      </w:r>
      <w:r>
        <w:rPr>
          <w:rFonts w:ascii="Times New Roman;Times;Serif" w:hAnsi="Times New Roman;Times;Serif"/>
          <w:b w:val="false"/>
          <w:i w:val="false"/>
          <w:caps w:val="false"/>
          <w:smallCaps w:val="false"/>
          <w:sz w:val="20"/>
        </w:rPr>
        <w:t>, this Third Certificate of Amendment has been executed by a duly authorized officer of the Corporation as of June 12, 2026.</w:t>
      </w:r>
    </w:p>
    <w:p>
      <w:pPr>
        <w:pStyle w:val="TextBody"/>
        <w:bidi w:val="0"/>
        <w:spacing w:before="0" w:after="0"/>
        <w:ind w:left="0" w:right="0" w:hanging="0"/>
        <w:jc w:val="left"/>
        <w:rPr>
          <w:caps w:val="false"/>
          <w:smallCaps w:val="false"/>
        </w:rPr>
      </w:pPr>
      <w:r>
        <w:rPr>
          <w:caps w:val="false"/>
          <w:smallCaps w:val="false"/>
        </w:rPr>
        <w:t> </w:t>
      </w:r>
    </w:p>
    <w:tbl>
      <w:tblPr>
        <w:tblW w:w="3949" w:type="dxa"/>
        <w:jc w:val="left"/>
        <w:tblInd w:w="0" w:type="dxa"/>
        <w:tblLayout w:type="fixed"/>
        <w:tblCellMar>
          <w:top w:w="0" w:type="dxa"/>
          <w:left w:w="0" w:type="dxa"/>
          <w:bottom w:w="0" w:type="dxa"/>
          <w:right w:w="0" w:type="dxa"/>
        </w:tblCellMar>
      </w:tblPr>
      <w:tblGrid>
        <w:gridCol w:w="75"/>
        <w:gridCol w:w="853"/>
        <w:gridCol w:w="3021"/>
      </w:tblGrid>
      <w:tr>
        <w:trPr/>
        <w:tc>
          <w:tcPr>
            <w:tcW w:w="75" w:type="dxa"/>
            <w:tcBorders/>
            <w:vAlign w:val="center"/>
          </w:tcPr>
          <w:p>
            <w:pPr>
              <w:pStyle w:val="TableContents"/>
              <w:bidi w:val="0"/>
              <w:spacing w:before="0" w:after="283"/>
              <w:jc w:val="left"/>
              <w:rPr/>
            </w:pPr>
            <w:r>
              <w:rPr/>
              <w:t> </w:t>
            </w:r>
          </w:p>
        </w:tc>
        <w:tc>
          <w:tcPr>
            <w:tcW w:w="3874" w:type="dxa"/>
            <w:gridSpan w:val="2"/>
            <w:tcBorders/>
            <w:vAlign w:val="center"/>
          </w:tcPr>
          <w:p>
            <w:pPr>
              <w:pStyle w:val="TableContents"/>
              <w:bidi w:val="0"/>
              <w:spacing w:before="0" w:after="283"/>
              <w:jc w:val="left"/>
              <w:rPr>
                <w:b/>
              </w:rPr>
            </w:pPr>
            <w:r>
              <w:rPr>
                <w:b/>
              </w:rPr>
              <w:t>PROTARA THERAPEUTICS, INC.</w:t>
            </w:r>
          </w:p>
        </w:tc>
      </w:tr>
      <w:tr>
        <w:trPr/>
        <w:tc>
          <w:tcPr>
            <w:tcW w:w="75" w:type="dxa"/>
            <w:tcBorders/>
            <w:vAlign w:val="center"/>
          </w:tcPr>
          <w:p>
            <w:pPr>
              <w:pStyle w:val="TableContents"/>
              <w:bidi w:val="0"/>
              <w:spacing w:before="0" w:after="283"/>
              <w:jc w:val="left"/>
              <w:rPr/>
            </w:pPr>
            <w:r>
              <w:rPr/>
              <w:t> </w:t>
            </w:r>
          </w:p>
        </w:tc>
        <w:tc>
          <w:tcPr>
            <w:tcW w:w="387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53" w:type="dxa"/>
            <w:tcBorders/>
            <w:vAlign w:val="center"/>
          </w:tcPr>
          <w:p>
            <w:pPr>
              <w:pStyle w:val="TableContents"/>
              <w:bidi w:val="0"/>
              <w:spacing w:before="0" w:after="283"/>
              <w:jc w:val="left"/>
              <w:rPr/>
            </w:pPr>
            <w:r>
              <w:rPr/>
              <w:t>By:</w:t>
            </w:r>
          </w:p>
        </w:tc>
        <w:tc>
          <w:tcPr>
            <w:tcW w:w="3021" w:type="dxa"/>
            <w:tcBorders>
              <w:bottom w:val="single" w:sz="12" w:space="0" w:color="000000"/>
            </w:tcBorders>
            <w:tcMar>
              <w:bottom w:w="28" w:type="dxa"/>
            </w:tcMar>
            <w:vAlign w:val="center"/>
          </w:tcPr>
          <w:p>
            <w:pPr>
              <w:pStyle w:val="TableContents"/>
              <w:bidi w:val="0"/>
              <w:spacing w:before="0" w:after="283"/>
              <w:jc w:val="left"/>
              <w:rPr/>
            </w:pPr>
            <w:r>
              <w:rPr/>
              <w:t>/s/ Jesse Shefferman</w:t>
            </w:r>
          </w:p>
        </w:tc>
      </w:tr>
      <w:tr>
        <w:trPr/>
        <w:tc>
          <w:tcPr>
            <w:tcW w:w="75" w:type="dxa"/>
            <w:tcBorders/>
            <w:vAlign w:val="center"/>
          </w:tcPr>
          <w:p>
            <w:pPr>
              <w:pStyle w:val="TableContents"/>
              <w:bidi w:val="0"/>
              <w:spacing w:before="0" w:after="283"/>
              <w:jc w:val="left"/>
              <w:rPr/>
            </w:pPr>
            <w:r>
              <w:rPr/>
              <w:t> </w:t>
            </w:r>
          </w:p>
        </w:tc>
        <w:tc>
          <w:tcPr>
            <w:tcW w:w="853" w:type="dxa"/>
            <w:tcBorders/>
            <w:vAlign w:val="center"/>
          </w:tcPr>
          <w:p>
            <w:pPr>
              <w:pStyle w:val="TableContents"/>
              <w:bidi w:val="0"/>
              <w:spacing w:before="0" w:after="283"/>
              <w:jc w:val="left"/>
              <w:rPr/>
            </w:pPr>
            <w:r>
              <w:rPr/>
              <w:t>Name:</w:t>
            </w:r>
          </w:p>
        </w:tc>
        <w:tc>
          <w:tcPr>
            <w:tcW w:w="3021" w:type="dxa"/>
            <w:tcBorders/>
            <w:vAlign w:val="center"/>
          </w:tcPr>
          <w:p>
            <w:pPr>
              <w:pStyle w:val="TableContents"/>
              <w:bidi w:val="0"/>
              <w:spacing w:before="0" w:after="283"/>
              <w:jc w:val="left"/>
              <w:rPr/>
            </w:pPr>
            <w:r>
              <w:rPr/>
              <w:t>Jesse Shefferman</w:t>
            </w:r>
          </w:p>
        </w:tc>
      </w:tr>
      <w:tr>
        <w:trPr/>
        <w:tc>
          <w:tcPr>
            <w:tcW w:w="75" w:type="dxa"/>
            <w:tcBorders/>
            <w:vAlign w:val="center"/>
          </w:tcPr>
          <w:p>
            <w:pPr>
              <w:pStyle w:val="TableContents"/>
              <w:bidi w:val="0"/>
              <w:spacing w:before="0" w:after="283"/>
              <w:jc w:val="left"/>
              <w:rPr/>
            </w:pPr>
            <w:r>
              <w:rPr/>
              <w:t> </w:t>
            </w:r>
          </w:p>
        </w:tc>
        <w:tc>
          <w:tcPr>
            <w:tcW w:w="853" w:type="dxa"/>
            <w:tcBorders/>
            <w:vAlign w:val="center"/>
          </w:tcPr>
          <w:p>
            <w:pPr>
              <w:pStyle w:val="TableContents"/>
              <w:bidi w:val="0"/>
              <w:spacing w:before="0" w:after="283"/>
              <w:jc w:val="left"/>
              <w:rPr/>
            </w:pPr>
            <w:r>
              <w:rPr/>
              <w:t>Title:</w:t>
            </w:r>
          </w:p>
        </w:tc>
        <w:tc>
          <w:tcPr>
            <w:tcW w:w="3021" w:type="dxa"/>
            <w:tcBorders/>
            <w:vAlign w:val="center"/>
          </w:tcPr>
          <w:p>
            <w:pPr>
              <w:pStyle w:val="TableContents"/>
              <w:bidi w:val="0"/>
              <w:spacing w:before="0" w:after="283"/>
              <w:jc w:val="left"/>
              <w:rPr/>
            </w:pPr>
            <w:r>
              <w:rPr/>
              <w:t>Chief Executive Officer</w:t>
            </w:r>
          </w:p>
        </w:tc>
      </w:tr>
    </w:tbl>
    <w:p>
      <w:pPr>
        <w:pStyle w:val="TextBody"/>
        <w:bidi w:val="0"/>
        <w:spacing w:before="0" w:after="0"/>
        <w:ind w:left="4590" w:right="0" w:hanging="0"/>
        <w:jc w:val="left"/>
        <w:rPr>
          <w:caps w:val="false"/>
          <w:smallCaps w:val="false"/>
        </w:rPr>
      </w:pPr>
      <w:r>
        <w:rPr>
          <w:caps w:val="false"/>
          <w:smallCaps w:val="false"/>
        </w:rPr>
        <w:t> </w:t>
      </w:r>
    </w:p>
    <w:p>
      <w:pPr>
        <w:pStyle w:val="TextBody"/>
        <w:bidi w:val="0"/>
        <w:spacing w:before="0" w:after="0"/>
        <w:ind w:left="459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4" w:name="ea029860001ex3-7.htm"/>
      <w:bookmarkStart w:id="25" w:name="ksea029860001ex37"/>
      <w:bookmarkEnd w:id="24"/>
      <w:bookmarkEnd w:id="25"/>
      <w:r>
        <w:rPr>
          <w:rFonts w:ascii="Times New Roman;Times;Serif" w:hAnsi="Times New Roman;Times;Serif"/>
          <w:b/>
          <w:i w:val="false"/>
          <w:caps w:val="false"/>
          <w:smallCaps w:val="false"/>
          <w:sz w:val="20"/>
        </w:rPr>
        <w:t>Exhibit 3.7</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COMPOSITE CERTIFICATE OF INCORPORATION OF PROTARA THERAPEUTICS, INC. REFLECTS THE PROVISIONS OF ITS SIXTH AMENDED AND RESTATED CERTIFICATE OF INCORPORATION AS AMENDED AND RESTATED ON OCTOBER 27, 2014, AND ALL AMENDMENTS THERETO FILED WITH THE DELAWARE SECRETARY OF STATE THEREAFTER, BUT IS NOT AN AMENDMENT AND/OR RESTATEMENT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COMPOSITE CERTIFICATE OF INCORPORATION 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PROTARA THERAPEUTICS,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ONE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of the corporation is Protara Therapeutics, Inc. (the “</w:t>
      </w:r>
      <w:r>
        <w:rPr>
          <w:rFonts w:ascii="Times New Roman;Times;Serif" w:hAnsi="Times New Roman;Times;Serif"/>
          <w:b w:val="false"/>
          <w:i w:val="false"/>
          <w:caps w:val="false"/>
          <w:smallCaps w:val="false"/>
          <w:sz w:val="20"/>
          <w:u w:val="single"/>
        </w:rPr>
        <w:t>Corporation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TWO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address of the Corporation’s registered office is 1209 Orange Street, in the City of Wilmington, New Castle County, Delaware 19801. The name of the registered agent in charge thereof is The Corporation Trust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THREE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nature of the business or purpose of the Corporation is to engage in any lawful act or activity for which corporations may be organized under the General Corporation Law of the State of Delaware (the “</w:t>
      </w:r>
      <w:r>
        <w:rPr>
          <w:rFonts w:ascii="Times New Roman;Times;Serif" w:hAnsi="Times New Roman;Times;Serif"/>
          <w:b w:val="false"/>
          <w:i w:val="false"/>
          <w:caps w:val="false"/>
          <w:smallCaps w:val="false"/>
          <w:sz w:val="20"/>
          <w:u w:val="single"/>
        </w:rPr>
        <w:t>DGCL</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FOUR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 </w:t>
      </w:r>
      <w:r>
        <w:rPr>
          <w:rFonts w:ascii="Times New Roman;Times;Serif" w:hAnsi="Times New Roman;Times;Serif"/>
          <w:b w:val="false"/>
          <w:i w:val="false"/>
          <w:caps w:val="false"/>
          <w:smallCaps w:val="false"/>
          <w:sz w:val="20"/>
          <w:u w:val="single"/>
        </w:rPr>
        <w:t>Authorized Shares</w:t>
      </w:r>
      <w:r>
        <w:rPr>
          <w:rFonts w:ascii="Times New Roman;Times;Serif" w:hAnsi="Times New Roman;Times;Serif"/>
          <w:b w:val="false"/>
          <w:i w:val="false"/>
          <w:caps w:val="false"/>
          <w:smallCaps w:val="false"/>
          <w:sz w:val="20"/>
        </w:rPr>
        <w:t>. The total number of shares of all classes of capital stock which the Corporation shall have authority to issue is Two Hundred Ten million (210,000,000) shares, consisting 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Two Hundred million (200,000,000) shares of common stock, par value $0.001 per share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and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Ten million (10,000,000) shares of undesignated preferred stock, par value $0.001 per share (the “</w:t>
      </w:r>
      <w:r>
        <w:rPr>
          <w:rFonts w:ascii="Times New Roman;Times;Serif" w:hAnsi="Times New Roman;Times;Serif"/>
          <w:b w:val="false"/>
          <w:i w:val="false"/>
          <w:caps w:val="false"/>
          <w:smallCaps w:val="false"/>
          <w:sz w:val="20"/>
          <w:u w:val="single"/>
        </w:rPr>
        <w:t>Preferred Stock</w:t>
      </w:r>
      <w:r>
        <w:rPr>
          <w:rFonts w:ascii="Times New Roman;Times;Serif" w:hAnsi="Times New Roman;Times;Serif"/>
          <w:b w:val="false"/>
          <w:i w:val="false"/>
          <w:caps w:val="false"/>
          <w:smallCaps w:val="false"/>
          <w:sz w:val="20"/>
        </w:rPr>
        <w:t>”).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stock may be issued from time to time by the Corporation for such consideration as may be fixed by the board of directors of the Corporation (the “</w:t>
      </w:r>
      <w:r>
        <w:rPr>
          <w:rFonts w:ascii="Times New Roman;Times;Serif" w:hAnsi="Times New Roman;Times;Serif"/>
          <w:b w:val="false"/>
          <w:i w:val="false"/>
          <w:caps w:val="false"/>
          <w:smallCaps w:val="false"/>
          <w:sz w:val="20"/>
          <w:u w:val="single"/>
        </w:rPr>
        <w:t>Board of Directors</w:t>
      </w:r>
      <w:r>
        <w:rPr>
          <w:rFonts w:ascii="Times New Roman;Times;Serif" w:hAnsi="Times New Roman;Times;Serif"/>
          <w:b w:val="false"/>
          <w:i w:val="false"/>
          <w:caps w:val="false"/>
          <w:smallCaps w:val="false"/>
          <w:sz w:val="20"/>
        </w:rPr>
        <w:t>”). The following is a statement of the powers, designations, preferences, privileges, and relative rights in respect of each class of capital stock of the 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General</w:t>
      </w:r>
      <w:r>
        <w:rPr>
          <w:rFonts w:ascii="Times New Roman;Times;Serif" w:hAnsi="Times New Roman;Times;Serif"/>
          <w:b w:val="false"/>
          <w:i w:val="false"/>
          <w:caps w:val="false"/>
          <w:smallCaps w:val="false"/>
          <w:sz w:val="20"/>
        </w:rPr>
        <w:t>. The voting, dividend and liquidation rights of the holders of Common Stock are subject to and qualified by the rights of the holders of Preferred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Votin</w:t>
      </w:r>
      <w:r>
        <w:rPr>
          <w:rFonts w:ascii="Times New Roman;Times;Serif" w:hAnsi="Times New Roman;Times;Serif"/>
          <w:b w:val="false"/>
          <w:i w:val="false"/>
          <w:caps w:val="false"/>
          <w:smallCaps w:val="false"/>
          <w:sz w:val="20"/>
        </w:rPr>
        <w:t xml:space="preserve">g. Except as otherwise provided by the DGCL or this Restated Certificate and subject to the rights of holders of any series of Preferred Stock, all of the voting power of the stockholders of the Corporation shall be vested in the holders of the Common Stock, and each holder of Common Stock shall have one vote for each share held by such holder on all matters voted upon by the stockholders of the Corporation; provided,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except as otherwise required by law, holders of Common Stock, as such, shall not be entitled to vote on any amendment to this Restated Certificate (or on any amendment to a certificate of designations of any series of Preferred Stock) that alters or changes the powers, preferences, rights or other terms of one or more outstanding series of Preferred Stock if the holders of such affected series of Preferred Stock are entitled to vote, either separately or together with the holders of one or more other such series, on such amendment pursuant to this Restated Certificate (or pursuant to a certificate of designations of any series of Preferred Stock) or pursuant to the DGCL. There shall be no cumulative voting.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Dividends</w:t>
      </w:r>
      <w:r>
        <w:rPr>
          <w:rFonts w:ascii="Times New Roman;Times;Serif" w:hAnsi="Times New Roman;Times;Serif"/>
          <w:b w:val="false"/>
          <w:i w:val="false"/>
          <w:caps w:val="false"/>
          <w:smallCaps w:val="false"/>
          <w:sz w:val="20"/>
        </w:rPr>
        <w:t>. Except as otherwise provided by the DGCL or this Restated Certificate, dividends may be declared and paid on the Common Stock from funds lawfully available therefor if, as and when determined by the Board of Directors and subject to any preferential dividend rights of any then outstanding shares of Preferred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No Preemptive Rights</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The holders of the Common Stock shall have no preemptive rights to subscribe for any shares of any class of stock of the Corporation whether now or hereafter authorized.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No Conversion Ri</w:t>
      </w:r>
      <w:r>
        <w:rPr>
          <w:rFonts w:ascii="Times New Roman;Times;Serif" w:hAnsi="Times New Roman;Times;Serif"/>
          <w:b w:val="false"/>
          <w:i w:val="false"/>
          <w:caps w:val="false"/>
          <w:smallCaps w:val="false"/>
          <w:sz w:val="20"/>
        </w:rPr>
        <w:t>g</w:t>
      </w:r>
      <w:r>
        <w:rPr>
          <w:rFonts w:ascii="Times New Roman;Times;Serif" w:hAnsi="Times New Roman;Times;Serif"/>
          <w:b w:val="false"/>
          <w:i w:val="false"/>
          <w:caps w:val="false"/>
          <w:smallCaps w:val="false"/>
          <w:sz w:val="20"/>
          <w:u w:val="single"/>
        </w:rPr>
        <w:t>hts</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The Common Stock shall not be convertible into, or exchangeable for, shares of any other class or classes or of any other series of the same class of the Corporation’s capital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Liquidation</w:t>
      </w:r>
      <w:r>
        <w:rPr>
          <w:rFonts w:ascii="Times New Roman;Times;Serif" w:hAnsi="Times New Roman;Times;Serif"/>
          <w:b w:val="false"/>
          <w:i w:val="false"/>
          <w:caps w:val="false"/>
          <w:smallCaps w:val="false"/>
          <w:sz w:val="20"/>
        </w:rPr>
        <w:t>. Upon the dissolution or liquidation or winding up of the affairs of the Corporation, whether voluntary or involuntary, holders of Common Stock will be entitled to receive all assets of the Corporation available for distribution to its stockholders equally on a per share basis, subject to any preferential rights of any then outstanding shares of Preferred Stock and after payment or provision for payment of the Corporation’s debts.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 </w:t>
      </w:r>
      <w:r>
        <w:rPr>
          <w:rFonts w:ascii="Times New Roman;Times;Serif" w:hAnsi="Times New Roman;Times;Serif"/>
          <w:b w:val="false"/>
          <w:i w:val="false"/>
          <w:caps w:val="false"/>
          <w:smallCaps w:val="false"/>
          <w:sz w:val="20"/>
          <w:u w:val="single"/>
        </w:rPr>
        <w:t>Preferred Stock</w:t>
      </w:r>
      <w:r>
        <w:rPr>
          <w:rFonts w:ascii="Times New Roman;Times;Serif" w:hAnsi="Times New Roman;Times;Serif"/>
          <w:b w:val="false"/>
          <w:i w:val="false"/>
          <w:caps w:val="false"/>
          <w:smallCaps w:val="false"/>
          <w:sz w:val="20"/>
        </w:rPr>
        <w:t>. To the fullest extent authorized by the DGCL, shares of Preferred Stock may be issued from time to time in one or more series, each of such series to have such powers, designations, preferences, and relative, participating, optional, or other special rights, if any, and such qualifications and restrictions, if any, as are stated or expressed in the resolution or resolutions of the Board of Directors providing for such series of Preferred Stock. Different series of Preferred Stock shall not be construed to constitute different classes of shares for the purposes of voting by classes unless expressly so provided in such resolution or resolutions.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Authority is hereby granted to the Board of Directors, acting by resolution or resolutions adopted at any time and from time to time, to create, provide for, designate and issue, out of the authorized but unissued shares of Preferred Stock, one or more series of Preferred Stock, and, in connection with the creation of any such series of Preferred Stock, to determine and fix the powers, designations, preferences, and relative, participating, optional, or other special rights, if any, and the qualifications and restrictions, if any, including without limitation dividend rights, conversion rights, voting rights (if any), redemption privileges, and liquidation preferences, of such series of Preferred Stock (which need not be uniform among series), all to the fullest extent now or hereafter permitted by the DGCL. Without limiting the generality of the foregoing, the resolution or resolutions providing for the creation or issuance of any series of Preferred Stock may provide that such series shall be superior to, rank equally with, or be junior to any other series of Preferred Stock, all to the fullest extent permitted by law. No resolution, vote, or consent of the holders of the capital stock of the Corporation shall be required in connection with the creation or issuance of any shares of any series of Preferred Stock authorized by and complying with the conditions of this Restated Certificate, the right to any such resolution, vote, or consent being expressly waived by all present and future holders of the capital stock of the 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resolution or resolutions adopted by the Board of Directors pursuant to the authority vested in them by this Section 3 of Article Four shall be set forth in a certificate of designation along with the number of shares of such series of Preferred Stock as to which the resolution or resolutions shall apply and such certificate shall be executed, acknowledged, filed, recorded, and shall become effective, in accordance with Section 103 of the DGCL. Unless otherwise provided in any such resolution or resolutions, the number of shares of any such series of Preferred Stock to which such resolution or resolutions apply may be increased (but not above the total number of authorized shares of Preferred Stock) or decreased (but not below the number of shares of such series of Preferred Stock then outstanding) by a certificate likewise executed, acknowledged, filed and recorded, setting forth a statement that a specified increase or decrease therein has been authorized and directed by a resolution or resolutions likewise adopted by the Board of Directors. In case the number of such shares shall be decreased, the number of shares so specified in the certificate shall resume the status which they had prior to the adoption of the first resolution or resolutions. When no shares of any such series of Preferred Stock are outstanding, either because none were issued or because none remain outstanding, a certificate setting forth a resolution or resolutions adopted by the Board of Directors that none of the authorized shares of such series of Preferred Stock are outstanding, and that none will be issued subject to the certificate of designations previously filed with respect to such series of Preferred Stock, may be executed, acknowledged, filed and recorded in the same manner as previously described and it shall have the effect of eliminating from this Restated Certificate all matters set forth in the certificate of designations with respect to such series of Preferred Stock. If no shares of any such series of Preferred Stock established by a resolution or resolutions adopted by the Board of Directors have been issued, the voting powers, designations, preferences and relative, participating, optional or other rights, if any, with the qualifications, limitations or restrictions thereof, may be amended by a resolution or resolutions adopted by the Board of Directors. In the event of any such amendment, a certificate which (i) states that no shares of such series of Preferred Stock have been issued, (ii) sets forth the copy of the amending resolution or resolutions and (iii) if the designation of such series of Preferred Stock is being changed, indicates the original designation and the new designation, shall be executed, acknowledged, filed, recorded, and shall become effective, in accordance with Section 103 of the DGCL.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 </w:t>
      </w:r>
      <w:r>
        <w:rPr>
          <w:rFonts w:ascii="Times New Roman;Times;Serif" w:hAnsi="Times New Roman;Times;Serif"/>
          <w:b w:val="false"/>
          <w:i w:val="false"/>
          <w:caps w:val="false"/>
          <w:smallCaps w:val="false"/>
          <w:sz w:val="20"/>
          <w:u w:val="single"/>
        </w:rPr>
        <w:t>Reverse Stock Split</w:t>
      </w:r>
      <w:r>
        <w:rPr>
          <w:rFonts w:ascii="Times New Roman;Times;Serif" w:hAnsi="Times New Roman;Times;Serif"/>
          <w:b w:val="false"/>
          <w:i w:val="false"/>
          <w:caps w:val="false"/>
          <w:smallCaps w:val="false"/>
          <w:sz w:val="20"/>
        </w:rPr>
        <w:t>. Immediately prior to the Effective Time (as defined below in this Section 4) (the “</w:t>
      </w:r>
      <w:r>
        <w:rPr>
          <w:rFonts w:ascii="Times New Roman;Times;Serif" w:hAnsi="Times New Roman;Times;Serif"/>
          <w:b w:val="false"/>
          <w:i w:val="false"/>
          <w:caps w:val="false"/>
          <w:smallCaps w:val="false"/>
          <w:sz w:val="20"/>
          <w:u w:val="single"/>
        </w:rPr>
        <w:t>Reverse Stock Split Effective Time</w:t>
      </w:r>
      <w:r>
        <w:rPr>
          <w:rFonts w:ascii="Times New Roman;Times;Serif" w:hAnsi="Times New Roman;Times;Serif"/>
          <w:b w:val="false"/>
          <w:i w:val="false"/>
          <w:caps w:val="false"/>
          <w:smallCaps w:val="false"/>
          <w:sz w:val="20"/>
        </w:rPr>
        <w:t>”), a 1-for-40 reverse stock split of the shares of the Common Stock issued and outstanding immediately prior to the Reverse Stock Split Effective Time shall become effective, whereby every forty (40) shares of Common Stock issued and outstanding immediately prior to the Reverse Stock Split Effective Time, automatically, and without any action on the part of the holder thereof, shall be reclassified and combined into one (1) share of Common Stock (the “</w:t>
      </w:r>
      <w:r>
        <w:rPr>
          <w:rFonts w:ascii="Times New Roman;Times;Serif" w:hAnsi="Times New Roman;Times;Serif"/>
          <w:b w:val="false"/>
          <w:i w:val="false"/>
          <w:caps w:val="false"/>
          <w:smallCaps w:val="false"/>
          <w:sz w:val="20"/>
          <w:u w:val="single"/>
        </w:rPr>
        <w:t>Reverse Stock Split</w:t>
      </w:r>
      <w:r>
        <w:rPr>
          <w:rFonts w:ascii="Times New Roman;Times;Serif" w:hAnsi="Times New Roman;Times;Serif"/>
          <w:b w:val="false"/>
          <w:i w:val="false"/>
          <w:caps w:val="false"/>
          <w:smallCaps w:val="false"/>
          <w:sz w:val="20"/>
        </w:rPr>
        <w:t>”). The par value of the Common Stock and the Preferred Stock following the Reverse Stock Split shall remain at $0.001 per share. The number of authorized shares of Common Stock and Preferred Stock set forth in the first paragraph of Article Four of this Restated Certificate shall not be affected by, and shall remain unchanged following, the Reverse Stock Split. No fractional shares of Common Stock shall be issued or issuable in connection with the Reverse Stock Split and, in lieu thereof, any person who would otherwise be entitled to a fractional share of Common Stock as a result of the Reverse Stock Split (determined after aggregating all of such fractional shares) shall be entitled to receive, following the Reverse Stock Split, a cash payment equal to the fraction of which such holder would otherwise be entitled multiplied by the fair value per share of Common Stock as determined by the board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stock certificate that represented shares of Common Stock that were issued and outstanding immediately prior to the Reverse Stock Split Effective Time shall, from and after the Reverse Stock Split Effective Time, automatically and without the necessity of presenting the same for exchange, represent that number of whole shares of Common Stock into which the shares formerly represented by such stock certificate have been reclassified and combined as a result of the Reverse Stock Split (as well as the right to receive cash in lieu of fractional shares of Common Stock after the effectiveness of the Reverse Stock Split). As soon as practicable after the effectiveness of the Reverse Stock Split and, if applicable in the case of shares of Common Stock represented by a stock certificate, the surrender of the stock certificate or stock certificates (or lost stock certificate affidavit and agreement in lieu thereof) for such shares of Common Stock, the Corporation shall (a) issue and deliver, or cause to be issued and delivered, to each holder of shares of Common Stock immediately prior to the Reverse Stock Split Effective Time, or to his, her or its nominees, either a stock certificate or stock certificates or a notice of a book-entry made by the Corporation in its stock records, as applicable, for the number of full shares of Common Stock into which the number of shares of Common Stock held by such holder immediately prior to the effectiveness of the Reverse Stock Split has been reclassified and combined upon the effectiveness of the Reverse Stock Split and (b) pay, or cause to be paid, cash in lieu of any fraction of a share of Common Stock resulting from the Reverse Stock Split.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Effective Time</w:t>
      </w:r>
      <w:r>
        <w:rPr>
          <w:rFonts w:ascii="Times New Roman;Times;Serif" w:hAnsi="Times New Roman;Times;Serif"/>
          <w:b w:val="false"/>
          <w:i w:val="false"/>
          <w:caps w:val="false"/>
          <w:smallCaps w:val="false"/>
          <w:sz w:val="20"/>
        </w:rPr>
        <w:t>” has the meaning given to such term in the Merger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Merger Agreement</w:t>
      </w:r>
      <w:r>
        <w:rPr>
          <w:rFonts w:ascii="Times New Roman;Times;Serif" w:hAnsi="Times New Roman;Times;Serif"/>
          <w:b w:val="false"/>
          <w:i w:val="false"/>
          <w:caps w:val="false"/>
          <w:smallCaps w:val="false"/>
          <w:sz w:val="20"/>
        </w:rPr>
        <w:t>” means the Agreement and Plan of Merger and Reorganization, dated as of September 23, 2019, among the Corporation, REM 1 Acquisition, Inc., a Delaware corporation and wholly-owned subsidiary of the Corporation, and ArTara Therapeutics, Inc., a Delaware corporation, without amendment, restatement or other modification in any material respect.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 </w:t>
      </w:r>
      <w:r>
        <w:rPr>
          <w:rFonts w:ascii="Times New Roman;Times;Serif" w:hAnsi="Times New Roman;Times;Serif"/>
          <w:b w:val="false"/>
          <w:i w:val="false"/>
          <w:caps w:val="false"/>
          <w:smallCaps w:val="false"/>
          <w:sz w:val="20"/>
          <w:u w:val="single"/>
        </w:rPr>
        <w:t>Automatic Conversion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 </w:t>
      </w:r>
      <w:r>
        <w:rPr>
          <w:rFonts w:ascii="Times New Roman;Times;Serif" w:hAnsi="Times New Roman;Times;Serif"/>
          <w:b w:val="false"/>
          <w:i w:val="false"/>
          <w:caps w:val="false"/>
          <w:smallCaps w:val="false"/>
          <w:sz w:val="20"/>
          <w:u w:val="single"/>
        </w:rPr>
        <w:t>Effectiveness</w:t>
      </w:r>
      <w:r>
        <w:rPr>
          <w:rFonts w:ascii="Times New Roman;Times;Serif" w:hAnsi="Times New Roman;Times;Serif"/>
          <w:b w:val="false"/>
          <w:i w:val="false"/>
          <w:caps w:val="false"/>
          <w:smallCaps w:val="false"/>
          <w:sz w:val="20"/>
        </w:rPr>
        <w:t>. Subject to, and immediately following the later of the Effective Time and the consummation of the Private Placement (as such term is defined in the Merger Agreement) (the later of the foregoing, the “Automatic Conversion Effective Time”), all outstanding shares of Series A Convertible Preferred Stock, par value $0.001 per share, of the Corporation (the “Series A Convertible Preferred Stock”) shall automatically be converted into shares of Common Stock, at the then effective Conversion Rate (as defined in the Certificate of Designation of Preferences, Rights and Limitations of Series A Convertible Preferred Stock (the “Certificate of Designation”)) applicable to Series A Convertible Preferred Stock, after giving effect to the Reverse Stock Split and as otherwise determined in accordance with the provisions of Section 7(c) of the Certificate of Designation, all pursuant to and in accordance with the terms of the Certificate of Designation, as if each Holder (as defined in the Certificate of Designation) had delivered a Conversion Notice (as defined in the Certificate of Designation) at the Automatic Conversion Effective Time but without any such Holder being required to actually deliver such Conversion Notice, but without regard to any limitation on the conversion of the Series A Convertible Preferred Stock, including, without limitation the9.985% Cap (as such term is defined in the Certificate of Designation). The automatic conversion of all outstanding shares of Series A Convertible Preferred Stock into Common Stock pursuant to this Section 5.1 is sometimes referred to herein as the “Automatic Conversion.”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5.2 </w:t>
      </w:r>
      <w:r>
        <w:rPr>
          <w:rFonts w:ascii="Times New Roman;Times;Serif" w:hAnsi="Times New Roman;Times;Serif"/>
          <w:b w:val="false"/>
          <w:i w:val="false"/>
          <w:caps w:val="false"/>
          <w:smallCaps w:val="false"/>
          <w:sz w:val="20"/>
          <w:u w:val="single"/>
        </w:rPr>
        <w:t>No Inconsistent Provisions; Termination</w:t>
      </w:r>
      <w:r>
        <w:rPr>
          <w:rFonts w:ascii="Times New Roman;Times;Serif" w:hAnsi="Times New Roman;Times;Serif"/>
          <w:b w:val="false"/>
          <w:i w:val="false"/>
          <w:caps w:val="false"/>
          <w:smallCaps w:val="false"/>
          <w:sz w:val="20"/>
        </w:rPr>
        <w:t>. In the event that any provision of this Section 5 shall conflict with, or not be consistent with, any provision of the Certificate of Designation, such provision of this Section 5 shall govern and control. The provisions of this Section 5 shall automatically, without further action by any Holder or the Corporation, terminate and be of no further force or effect upon the termination of the Merger Agreement prior to the Automatic Conversion Effective Time.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FIVE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Corporation is to have perpetual existence.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SIX</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 </w:t>
      </w:r>
      <w:r>
        <w:rPr>
          <w:rFonts w:ascii="Times New Roman;Times;Serif" w:hAnsi="Times New Roman;Times;Serif"/>
          <w:b w:val="false"/>
          <w:i w:val="false"/>
          <w:caps w:val="false"/>
          <w:smallCaps w:val="false"/>
          <w:sz w:val="20"/>
          <w:u w:val="single"/>
        </w:rPr>
        <w:t>Classification of Directors</w:t>
      </w:r>
      <w:r>
        <w:rPr>
          <w:rFonts w:ascii="Times New Roman;Times;Serif" w:hAnsi="Times New Roman;Times;Serif"/>
          <w:b w:val="false"/>
          <w:i w:val="false"/>
          <w:caps w:val="false"/>
          <w:smallCaps w:val="false"/>
          <w:sz w:val="20"/>
        </w:rPr>
        <w:t>. Effective as of the closing (the “</w:t>
      </w:r>
      <w:r>
        <w:rPr>
          <w:rFonts w:ascii="Times New Roman;Times;Serif" w:hAnsi="Times New Roman;Times;Serif"/>
          <w:b w:val="false"/>
          <w:i w:val="false"/>
          <w:caps w:val="false"/>
          <w:smallCaps w:val="false"/>
          <w:sz w:val="20"/>
          <w:u w:val="single"/>
        </w:rPr>
        <w:t>IPO Closin</w:t>
      </w:r>
      <w:r>
        <w:rPr>
          <w:rFonts w:ascii="Times New Roman;Times;Serif" w:hAnsi="Times New Roman;Times;Serif"/>
          <w:b w:val="false"/>
          <w:i w:val="false"/>
          <w:caps w:val="false"/>
          <w:smallCaps w:val="false"/>
          <w:sz w:val="20"/>
        </w:rPr>
        <w:t>g”) of the Corporation’s first public offering of shares of Common Stock registered pursuant to the Securities Act of 1933, as amended, the Board of Directors shall be divided into three classes of directors, Class I, Class II, and Class III, such classes to be as nearly equal in number of directors as possible, having staggered three-year terms of office (except to the extent otherwise provided in the next sentence with respect to the initial term of the first and second of such classes of directors). The initial term of office of the directors of Class I shall expire as of the first annual meeting of the Corporation’s stockholders following the IPO Closing; the initial term of office of the directors of Class II shall expire as of the second annual meeting of the Corporation’s stockholders following the IPO Closing; and the initial term of office of the directors of Class III shall expire as of the third annual meeting of the Corporation’s stockholders following the IPO Closing. At each annual meeting of stockholders of the Corporation after the IPO Closing, nominees will stand for election to succeed those directors whose terms are to expire as of such annual meeting of stockholders, and such nominees elected at such annual meeting of stockholders shall be elected for a term expiring at the third annual meeting of stockholders following their election. Directors shall hold office until the annual meeting of stockholders in which their term is scheduled to expire as set forth above in this Section 1 of Article Six and until their respective successors are duly elected or qualified or until their earlier death, incapacity, resignation or removal. Those directors already in office immediately prior to the IPO Closing shall be allocated among the three classes of directors contemplated under this Section 1 of Article Six pursuant to a resolution or resolutions adopted by the Board of Directors prior to the IPO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 </w:t>
      </w:r>
      <w:r>
        <w:rPr>
          <w:rFonts w:ascii="Times New Roman;Times;Serif" w:hAnsi="Times New Roman;Times;Serif"/>
          <w:b w:val="false"/>
          <w:i w:val="false"/>
          <w:caps w:val="false"/>
          <w:smallCaps w:val="false"/>
          <w:sz w:val="20"/>
          <w:u w:val="single"/>
        </w:rPr>
        <w:t>Removal</w:t>
      </w:r>
      <w:r>
        <w:rPr>
          <w:rFonts w:ascii="Times New Roman;Times;Serif" w:hAnsi="Times New Roman;Times;Serif"/>
          <w:b w:val="false"/>
          <w:i w:val="false"/>
          <w:caps w:val="false"/>
          <w:smallCaps w:val="false"/>
          <w:sz w:val="20"/>
        </w:rPr>
        <w:t>. Subject to the special rights of the holders of any series of Preferred Stock to elect directors, the directors of the Corporation may be removed only for cause by the affirmative vote of the holders of at least seventy-five percent (75%) of the outstanding shares of capital stock of the Corporation entitled to vote in the election of directors or class of directors, voting together as a single class, at a meeting of the stockholders called for that purpose.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 </w:t>
      </w:r>
      <w:r>
        <w:rPr>
          <w:rFonts w:ascii="Times New Roman;Times;Serif" w:hAnsi="Times New Roman;Times;Serif"/>
          <w:b w:val="false"/>
          <w:i w:val="false"/>
          <w:caps w:val="false"/>
          <w:smallCaps w:val="false"/>
          <w:sz w:val="20"/>
          <w:u w:val="single"/>
        </w:rPr>
        <w:t>Vacancies</w:t>
      </w:r>
      <w:r>
        <w:rPr>
          <w:rFonts w:ascii="Times New Roman;Times;Serif" w:hAnsi="Times New Roman;Times;Serif"/>
          <w:b w:val="false"/>
          <w:i w:val="false"/>
          <w:caps w:val="false"/>
          <w:smallCaps w:val="false"/>
          <w:sz w:val="20"/>
        </w:rPr>
        <w:t>. Except as the DGCL may otherwise require, any new directorships or vacancies in the Board of Directors, including new directorships resulting from any increase in the number of directors to serve in the Board of Directors and/or any unfilled vacancies by reason of death, resignation, disqualification, removal for cause, failure to elect or otherwise with respect to any director, may be filled only by the vote of a majority of the remaining directors then in office, although less than a quorum, or by the sole remaining director.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 </w:t>
      </w:r>
      <w:r>
        <w:rPr>
          <w:rFonts w:ascii="Times New Roman;Times;Serif" w:hAnsi="Times New Roman;Times;Serif"/>
          <w:b w:val="false"/>
          <w:i w:val="false"/>
          <w:caps w:val="false"/>
          <w:smallCaps w:val="false"/>
          <w:sz w:val="20"/>
          <w:u w:val="single"/>
        </w:rPr>
        <w:t>Number of Directors</w:t>
      </w:r>
      <w:r>
        <w:rPr>
          <w:rFonts w:ascii="Times New Roman;Times;Serif" w:hAnsi="Times New Roman;Times;Serif"/>
          <w:b w:val="false"/>
          <w:i w:val="false"/>
          <w:caps w:val="false"/>
          <w:smallCaps w:val="false"/>
          <w:sz w:val="20"/>
        </w:rPr>
        <w:t>. Subject to the special rights of the holders of any series of Preferred Stock to elect directors, the number of directors which shall constitute the Board of Directors shall be fixed exclusively by the Board of Directors from time to time in accordance with the by-laws of the Corporation. No decrease in the number of directors constituting the whole board shall shorten the term of any incumbent director.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SEVEN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shall have the power and authority: (i) to adopt, amend or repeal the Corporation’s by-laws, subject to the power of the stockholders of the Corporation entitled to vote with respect thereto to make, alter, amend or repeal the bylaws; provided , that with respect to the powers of stockholders entitled to vote with respect thereto to make, alter, amend or repeal the bylaws, in addition to any other vote otherwise required by law, the affirmative vote of the holders of at least seventy-five percent (75%) of the outstanding shares of capital stock of the Corporation entitled to vote in the election of directors or class of directors, voting together as a single class, shall be required to make, alter, amend or repeal the bylaws of the Corporation; and (ii) to the full extent permitted or not prohibited by law, and without the consent of or other action by the stockholders, to authorize or create mortgages, pledges or other liens or encumbrances upon any or all of the assets, real, personal or mixed, and franchises of the Corporation, including after-acquired property, and to exercise all of the powers of the Corporation in connection therewith.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EIGHT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for by any resolutions of the Board of Directors providing for the issuance of any series of Preferred Stock, effective as of the IPO Closing, any action required or permitted to be taken by the stockholders of the Corporation may be taken only at a duly called annual or special meeting of the stockholders in which such action is properly brought before such meeting, and not by written consent in lieu of such a meeting. Subject to any special rights of the holders of any series of Preferred Stock, and to the requirements of applicable law, special meetings of stockholders of the Corporation may be called only by or at the direction of the Board of Directors pursuant to a resolution adopted by a majority of the total number of directors. Any business transacted at any special meeting of stockholders shall be limited to matters relating to the purpose or purposes stated in the notice of meeting.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NINE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Corporation reserves the right to amend, alter, change or repeal any provision contained in this Restated Certificate, in the manner now or hereafter prescribed by the DGCL, and all rights conferred upon stockholders herein are granted subject to this reservation. Notwithstanding anything to the contrary contained in this Restated Certificate, and notwithstanding that a lesser percentage may be permitted from time to time by applicable law, the affirmative vote of the holders of at least seventy-five percent (75%) of the outstanding shares of capital stock of the Corporation entitled to vote with in the election of directors or class of directors, voting together as a single class (in addition to any separate class vote that may in the future be required pursuant to the terms of any outstanding Preferred Stock), shall be required to amend or repeal the provisions of Articles Four (only to the extent it relates to the authority of the Board of Directors to issue shares of Preferred Stock in one or more series, the terms of which may be determined by the Board of Directors), Six, Seven, Eight, Nine, Ten or Eleven of this Restated Certificate or to reduce the numbers of authorized shares of Common Stock or Preferred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TEN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 </w:t>
      </w:r>
      <w:r>
        <w:rPr>
          <w:rFonts w:ascii="Times New Roman;Times;Serif" w:hAnsi="Times New Roman;Times;Serif"/>
          <w:b w:val="false"/>
          <w:i w:val="false"/>
          <w:caps w:val="false"/>
          <w:smallCaps w:val="false"/>
          <w:sz w:val="20"/>
          <w:u w:val="single"/>
        </w:rPr>
        <w:t>Limitation of Liabilit</w:t>
      </w:r>
      <w:r>
        <w:rPr>
          <w:rFonts w:ascii="Times New Roman;Times;Serif" w:hAnsi="Times New Roman;Times;Serif"/>
          <w:b w:val="false"/>
          <w:i w:val="false"/>
          <w:caps w:val="false"/>
          <w:smallCaps w:val="false"/>
          <w:sz w:val="20"/>
        </w:rPr>
        <w:t>y. To the fullest extent permitted by the DGCL as it now exists or may hereafter be amended (but, in the case of any such amendment, only to the extent that such amendment permits the Corporation to provide broader indemnification rights than permitted prior thereto), no director of the Corporation shall be personally liable to the Corporation or to any of its stockholders for monetary damages for breach of fiduciary duty as a director, notwithstanding any provision of law imposing such liability; provided, however, that to the extent required from time to time by applicable law, this Article Ten shall not eliminate or limit the liability of a director, to the extent such liability is provided by applicable law, (i) for any breach of the director’s duty of loyalty to the corporation or its stockholders, (ii) for acts or omissions not in good faith or which involve intentional misconduct or a knowing violation of law, (iii) under Section 174 of the DGCL, or (iv) for any transactions from which the director derived an improper personal benefit.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 </w:t>
      </w:r>
      <w:r>
        <w:rPr>
          <w:rFonts w:ascii="Times New Roman;Times;Serif" w:hAnsi="Times New Roman;Times;Serif"/>
          <w:b w:val="false"/>
          <w:i w:val="false"/>
          <w:caps w:val="false"/>
          <w:smallCaps w:val="false"/>
          <w:sz w:val="20"/>
          <w:u w:val="single"/>
        </w:rPr>
        <w:t>Indemnification</w:t>
      </w:r>
      <w:r>
        <w:rPr>
          <w:rFonts w:ascii="Times New Roman;Times;Serif" w:hAnsi="Times New Roman;Times;Serif"/>
          <w:b w:val="false"/>
          <w:i w:val="false"/>
          <w:caps w:val="false"/>
          <w:smallCaps w:val="false"/>
          <w:sz w:val="20"/>
        </w:rPr>
        <w:t>. The Corporation shall, to the fullest extent permitted by Section 145 of the DGCL and as further provided in the Corporation’s by-laws, each as amended from time to time, indemnify each person who was or is a party or is threatened to be made a party to any threatened, pending or completed action, suit or proceeding, whether civil, criminal, administrative or investigative, by reason of the fact that such person is or was, or has agreed to become, a director or officer of the Corporation, or is or was serving, or has agreed to serve, at the request of the Corporation, as a director, officer or trustee of, or in a similar capacity with, another corporation, partnership, joint venture, trust or other enterprise (including any employee benefit plan), or by reason of any action alleged to have been taken or omitted in such capacity, against all expenses (including attorneys’ fees), judgments, fines and amounts paid in settlement actually and reasonably incurred by him or her or on his or her behalf in connection with such action, suit or proceeding and any appeal therefrom.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Indemnification may include payment by the Corporation of expenses in defending an action or proceeding in advance of the final disposition of such action or proceeding upon receipt of an undertaking by the person indemnified to repay such payment if it is ultimately determined that such person is not entitled to indemnification under this Article Ten, which undertaking may be accepted without reference to the financial ability of such person to make such repayment.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Corporation shall not indemnify any such person seeking indemnification in connection with a proceeding (or part thereof) initiated by such person unless the initiation thereof was approved by the Board of Directors or except and to the extent otherwise permitted in the Corporation’s by-laws or in an agreement between the Corporation and such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indemnification rights provided in this Article Ten (i) shall not be deemed exclusive of any other rights to which those indemnified may be entitled under the Corporation’s by-laws, any law, agreement or vote of stockholders or disinterested directors or otherwise, and (ii) shall inure to the benefit of the heirs, executors and administrators of such persons. The Corporation may, to the extent authorized from time to time by its Board of Directors, grant indemnification rights to other employees or agents of the Corporation or other persons serving the Corporation and such rights may be equivalent to, or greater or less than, those set forth in this Article Ten.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 </w:t>
      </w:r>
      <w:r>
        <w:rPr>
          <w:rFonts w:ascii="Times New Roman;Times;Serif" w:hAnsi="Times New Roman;Times;Serif"/>
          <w:b w:val="false"/>
          <w:i w:val="false"/>
          <w:caps w:val="false"/>
          <w:smallCaps w:val="false"/>
          <w:sz w:val="20"/>
          <w:u w:val="single"/>
        </w:rPr>
        <w:t>Mer</w:t>
      </w:r>
      <w:r>
        <w:rPr>
          <w:rFonts w:ascii="Times New Roman;Times;Serif" w:hAnsi="Times New Roman;Times;Serif"/>
          <w:b w:val="false"/>
          <w:i w:val="false"/>
          <w:caps w:val="false"/>
          <w:smallCaps w:val="false"/>
          <w:sz w:val="20"/>
        </w:rPr>
        <w:t>g</w:t>
      </w:r>
      <w:r>
        <w:rPr>
          <w:rFonts w:ascii="Times New Roman;Times;Serif" w:hAnsi="Times New Roman;Times;Serif"/>
          <w:b w:val="false"/>
          <w:i w:val="false"/>
          <w:caps w:val="false"/>
          <w:smallCaps w:val="false"/>
          <w:sz w:val="20"/>
          <w:u w:val="single"/>
        </w:rPr>
        <w:t>er or Consolidation</w:t>
      </w:r>
      <w:r>
        <w:rPr>
          <w:rFonts w:ascii="Times New Roman;Times;Serif" w:hAnsi="Times New Roman;Times;Serif"/>
          <w:b w:val="false"/>
          <w:i w:val="false"/>
          <w:caps w:val="false"/>
          <w:smallCaps w:val="false"/>
          <w:sz w:val="20"/>
        </w:rPr>
        <w:t>. For purposes of this Article Ten,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this Article Ten with respect to the resulting or surviving corporation as he or she would have with respect to such constituent corporation if its separate existence had continued.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 </w:t>
      </w:r>
      <w:r>
        <w:rPr>
          <w:rFonts w:ascii="Times New Roman;Times;Serif" w:hAnsi="Times New Roman;Times;Serif"/>
          <w:b w:val="false"/>
          <w:i w:val="false"/>
          <w:caps w:val="false"/>
          <w:smallCaps w:val="false"/>
          <w:sz w:val="20"/>
          <w:u w:val="single"/>
        </w:rPr>
        <w:t>Amendment or Repeal</w:t>
      </w:r>
      <w:r>
        <w:rPr>
          <w:rFonts w:ascii="Times New Roman;Times;Serif" w:hAnsi="Times New Roman;Times;Serif"/>
          <w:b w:val="false"/>
          <w:i w:val="false"/>
          <w:caps w:val="false"/>
          <w:smallCaps w:val="false"/>
          <w:sz w:val="20"/>
        </w:rPr>
        <w:t>. No amendment to or repeal of this Article Ten shall apply to or have any effect on the liability or alleged liability of any director for or with respect to any acts or omissions of such director occurring prior to the effective date of such amendment or repeal.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ELEVEN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Corporation, as authorized by the Board of Directors, consents in writing to the selection of one or more alternative forums, the Court of Chancery of the State of Delaware shall be the sole and exclusive forum for a stockholder (including a beneficial owner) to bring (i) any derivative action or proceeding brought on behalf of the Corporation, (ii) any action asserting a claim of breach of a fiduciary duty owed by any director, officer or other employee of the Corporation to the Corporation or the Corporation’s stockholders, (iii) any action asserting a claim against the Corporation arising pursuant to any provision of the DGCL or this Restated Certificate or the Corporation’s Bylaws or (iv) any action asserting a claim against the Corporation, its directors, officers or employees governed by the internal affairs doctrine, except for, as to each of (i) through (iv), any claim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which is vested in the exclusive jurisdiction of a court or forum other than the Court of Chancery, or for which the Court of Chancery does not have subject matter jurisdiction. Any person or entity purchasing or otherwise acquiring any interest in shares of capital stock of the Corporation (including, without limitation, shares of Common Stock) shall, and shall be deemed to, have notice of and to have consented to the provisions of this Article Eleven.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TWELVE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provision or provisions of this Restated Certificate shall be held to be invalid, illegal or unenforceable as applied to any circumstance for any reason whatsoever: (i) the validity, legality and enforceability of such provisions in any other circumstance and of the remaining provisions of this Restated Certificate (including, without limitation, each portion of any paragraph of this Restated Certificate containing any such provision held to be invalid, illegal or unenforceable that is not itself held to be invalid, illegal or unenforceable) shall not in any way be affected or impaired thereby and (ii) to the fullest extent possible, the provisions of this Restated Certificate (including, without limitation, each such portion of any paragraph of this Restated Certificate containing any such provision held to be invalid, illegal or unenforceable) shall be construed so as to permit the Corporation to protect its directors, officers, employees and agents from personal liability in respect of their good faith service to or for the benefit of the Corporation to the fullest extent permitted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THIRTEEN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fullest extent permitted by the DGCL as it now exists or may hereafter be amended (but, in the case of any such amendment, only to the extent that such amendment permits the Corporation to provide broader exculpation rights than permitted prior thereto), no officer of the Corporation shall be personally liable to the Corporation or to any of its stockholders for monetary damages for breach of fiduciary duty as an officer, notwithstanding any provision of law imposing such liability; provided, however, that to the extent required from time to time by applicable law, this Article Thirteen shall not eliminate or limit the liability of an officer, to the extent such liability is provided by applicable law, (i) for any breach of the officer’s duty of loyalty to the Corporation or its stockholders, (ii) for acts or omissions not in good faith or which involve intentional misconduct or a knowing violation of law, (iii) for any transactions from which the officer derived an improper personal benefit or (iv) in any action by or in the right of the Corporation. Solely for purposes of this Article Thirteen, “officer” shall have the meaning provided in Section 102(b)(7) of the DGCL.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amendment to or repeal of this Article Thirteen shall apply to or have any effect on the liability or alleged liability of any officer for or with respect to any acts or omissions of such officer occurring prior to the effective date of such amendment or repeal.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6" w:name="ea029860001ex10-1.htm"/>
      <w:bookmarkStart w:id="27" w:name="ksea029860001ex101"/>
      <w:bookmarkEnd w:id="26"/>
      <w:bookmarkEnd w:id="27"/>
      <w:r>
        <w:rPr>
          <w:rFonts w:ascii="Times New Roman;Times;Serif" w:hAnsi="Times New Roman;Times;Serif"/>
          <w:b/>
          <w:i w:val="false"/>
          <w:caps w:val="false"/>
          <w:smallCaps w:val="false"/>
          <w:sz w:val="20"/>
        </w:rPr>
        <w:t>Exhibit 10.1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AMENDMENT </w:t>
      </w:r>
      <w:r>
        <w:rPr>
          <w:rFonts w:ascii="Times New Roman;Times;Serif" w:hAnsi="Times New Roman;Times;Serif"/>
          <w:b/>
          <w:i w:val="false"/>
          <w:caps w:val="false"/>
          <w:smallCaps w:val="false"/>
          <w:color w:val="252525"/>
          <w:sz w:val="20"/>
        </w:rPr>
        <w:t>NO. 1</w:t>
        <w:br/>
        <w:t>TO THE PROTARA THERAPEUTICS, INC.</w:t>
        <w:br/>
        <w:t>2024 EQUITY INCENTIVE PLAN, AS AMENDED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THIS AMENDMENT NO. 1</w:t>
      </w:r>
      <w:r>
        <w:rPr>
          <w:rFonts w:ascii="Times New Roman;Times;Serif" w:hAnsi="Times New Roman;Times;Serif"/>
          <w:b w:val="false"/>
          <w:i w:val="false"/>
          <w:caps w:val="false"/>
          <w:smallCaps w:val="false"/>
          <w:sz w:val="20"/>
        </w:rPr>
        <w:t xml:space="preserve"> to the Protara Therapeutics, Inc. 2024 Equity Incentive Plan, as Amended (the “</w:t>
      </w:r>
      <w:r>
        <w:rPr>
          <w:rFonts w:ascii="Times New Roman;Times;Serif" w:hAnsi="Times New Roman;Times;Serif"/>
          <w:b w:val="false"/>
          <w:i w:val="false"/>
          <w:caps w:val="false"/>
          <w:smallCaps w:val="false"/>
          <w:sz w:val="20"/>
          <w:u w:val="single"/>
        </w:rPr>
        <w:t>Plan</w:t>
      </w:r>
      <w:r>
        <w:rPr>
          <w:rFonts w:ascii="Times New Roman;Times;Serif" w:hAnsi="Times New Roman;Times;Serif"/>
          <w:b w:val="false"/>
          <w:i w:val="false"/>
          <w:caps w:val="false"/>
          <w:smallCaps w:val="false"/>
          <w:sz w:val="20"/>
        </w:rPr>
        <w:t>”) is approved by the Board of Directors of Protara Therapeutics, Inc., a corporation organized under the laws of the State of Delaware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as of April 8, 2026 to be effective as set forth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Company previously established the Plan;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Company now desires to amend the Plan to increase (i) the aggregate number of shares of Company common stock (“</w:t>
      </w:r>
      <w:r>
        <w:rPr>
          <w:rFonts w:ascii="Times New Roman;Times;Serif" w:hAnsi="Times New Roman;Times;Serif"/>
          <w:b w:val="false"/>
          <w:i w:val="false"/>
          <w:caps w:val="false"/>
          <w:smallCaps w:val="false"/>
          <w:sz w:val="20"/>
          <w:u w:val="single"/>
        </w:rPr>
        <w:t>Stock</w:t>
      </w:r>
      <w:r>
        <w:rPr>
          <w:rFonts w:ascii="Times New Roman;Times;Serif" w:hAnsi="Times New Roman;Times;Serif"/>
          <w:b w:val="false"/>
          <w:i w:val="false"/>
          <w:caps w:val="false"/>
          <w:smallCaps w:val="false"/>
          <w:sz w:val="20"/>
        </w:rPr>
        <w:t>”) available for issuance under the Plan and (ii) the number of shares of Stock issued pursuant to incentive options under the Plan (collectively, the “</w:t>
      </w:r>
      <w:r>
        <w:rPr>
          <w:rFonts w:ascii="Times New Roman;Times;Serif" w:hAnsi="Times New Roman;Times;Serif"/>
          <w:b w:val="false"/>
          <w:i w:val="false"/>
          <w:caps w:val="false"/>
          <w:smallCaps w:val="false"/>
          <w:sz w:val="20"/>
          <w:u w:val="single"/>
        </w:rPr>
        <w:t>Proposed Amendments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xml:space="preserve"> the Plan is hereby amended,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4.1(a)</w:t>
      </w:r>
      <w:r>
        <w:rPr>
          <w:rFonts w:ascii="Times New Roman;Times;Serif" w:hAnsi="Times New Roman;Times;Serif"/>
          <w:b w:val="false"/>
          <w:i w:val="false"/>
          <w:caps w:val="false"/>
          <w:smallCaps w:val="false"/>
          <w:sz w:val="20"/>
        </w:rPr>
        <w:t xml:space="preserve"> of the Plan is hereby amended by deleting the present section in its entirety and substituting the following in lieu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Limitation</w:t>
      </w:r>
      <w:r>
        <w:rPr>
          <w:rFonts w:ascii="Times New Roman;Times;Serif" w:hAnsi="Times New Roman;Times;Serif"/>
          <w:b w:val="false"/>
          <w:i w:val="false"/>
          <w:caps w:val="false"/>
          <w:smallCaps w:val="false"/>
          <w:sz w:val="20"/>
        </w:rPr>
        <w:t>. At no time shall the number of shares of Stock issued pursuant to or subject to outstanding Awards granted under the Plan (including pursuant to Incentive Options), nor the number of shares of Stock issued pursuant to Incentive Options, exceed 9,300,000 shares of Stock. Shares of Stock subject to awards that are assumed, converted or substituted under the Plan as a result of the Company’s acquisition of another company (including by way of merger, combination or similar transaction) will not count against the number of shares that may be granted under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No. 1 to the Plan is subject to approval by the stockholders of the Company at a meeting duly called for such purposes. The Proposed Amendments may not occur unless and until this Amendment No. 1 is approved by the stockholders. Except as hereby modified, the Plan shall remain in full force and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Remainder of page left intentionally blank</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8" w:name="ea029860001ex31-1.htm"/>
      <w:bookmarkStart w:id="29" w:name="ksea029860001ex311"/>
      <w:bookmarkEnd w:id="28"/>
      <w:bookmarkEnd w:id="29"/>
      <w:r>
        <w:rPr>
          <w:rFonts w:ascii="Times New Roman;Times;Serif" w:hAnsi="Times New Roman;Times;Serif"/>
          <w:b/>
          <w:i w:val="false"/>
          <w:caps w:val="false"/>
          <w:smallCaps w:val="false"/>
          <w:sz w:val="20"/>
        </w:rPr>
        <w:t>Exhibit 31.1</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CERTIFICATION PURSUANT TO</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SECURITIES EXCHANGE ACT RULES 13a-14(a) and 15d-14(a)</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AS ADOPTED PURSUANT TO</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302 OF THE SARBANES-OXLEY ACT OF 2002</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Jesse Shefferman, certify that:</w:t>
      </w:r>
    </w:p>
    <w:p>
      <w:pPr>
        <w:pStyle w:val="TextBody"/>
        <w:bidi w:val="0"/>
        <w:spacing w:before="0" w:after="0"/>
        <w:ind w:left="0" w:right="0" w:hanging="0"/>
        <w:jc w:val="left"/>
        <w:rPr>
          <w:caps w:val="false"/>
          <w:smallCaps w:val="false"/>
        </w:rPr>
      </w:pPr>
      <w:r>
        <w:rPr>
          <w:caps w:val="false"/>
          <w:smallCaps w:val="false"/>
        </w:rPr>
        <w:t> </w:t>
      </w:r>
    </w:p>
    <w:tbl>
      <w:tblPr>
        <w:tblW w:w="9745" w:type="dxa"/>
        <w:jc w:val="left"/>
        <w:tblInd w:w="0" w:type="dxa"/>
        <w:tblLayout w:type="fixed"/>
        <w:tblCellMar>
          <w:top w:w="0" w:type="dxa"/>
          <w:left w:w="0" w:type="dxa"/>
          <w:bottom w:w="0" w:type="dxa"/>
          <w:right w:w="0" w:type="dxa"/>
        </w:tblCellMar>
      </w:tblPr>
      <w:tblGrid>
        <w:gridCol w:w="230"/>
        <w:gridCol w:w="9515"/>
      </w:tblGrid>
      <w:tr>
        <w:trPr/>
        <w:tc>
          <w:tcPr>
            <w:tcW w:w="230" w:type="dxa"/>
            <w:tcBorders/>
            <w:vAlign w:val="center"/>
          </w:tcPr>
          <w:p>
            <w:pPr>
              <w:pStyle w:val="TableContents"/>
              <w:bidi w:val="0"/>
              <w:spacing w:before="0" w:after="283"/>
              <w:jc w:val="left"/>
              <w:rPr>
                <w:sz w:val="20"/>
              </w:rPr>
            </w:pPr>
            <w:r>
              <w:rPr>
                <w:sz w:val="20"/>
              </w:rPr>
              <w:t xml:space="preserve">1. </w:t>
            </w:r>
          </w:p>
        </w:tc>
        <w:tc>
          <w:tcPr>
            <w:tcW w:w="9515" w:type="dxa"/>
            <w:tcBorders/>
            <w:vAlign w:val="center"/>
          </w:tcPr>
          <w:p>
            <w:pPr>
              <w:pStyle w:val="TableContents"/>
              <w:bidi w:val="0"/>
              <w:spacing w:before="0" w:after="283"/>
              <w:jc w:val="both"/>
              <w:rPr>
                <w:sz w:val="20"/>
              </w:rPr>
            </w:pPr>
            <w:r>
              <w:rPr>
                <w:sz w:val="20"/>
              </w:rPr>
              <w:t xml:space="preserve">I have reviewed this Quarterly Report on Form 10-Q for the period ended June 30, 2026 of Protara Therapeutics, Inc.; </w:t>
            </w:r>
          </w:p>
        </w:tc>
      </w:tr>
    </w:tbl>
    <w:p>
      <w:pPr>
        <w:pStyle w:val="TextBody"/>
        <w:bidi w:val="0"/>
        <w:spacing w:before="0" w:after="0"/>
        <w:ind w:left="14" w:right="14"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283"/>
              <w:jc w:val="left"/>
              <w:rPr>
                <w:sz w:val="20"/>
              </w:rPr>
            </w:pPr>
            <w:r>
              <w:rPr>
                <w:sz w:val="20"/>
              </w:rPr>
              <w:t xml:space="preserve">2. </w:t>
            </w:r>
          </w:p>
        </w:tc>
        <w:tc>
          <w:tcPr>
            <w:tcW w:w="10031" w:type="dxa"/>
            <w:tcBorders/>
            <w:vAlign w:val="center"/>
          </w:tcPr>
          <w:p>
            <w:pPr>
              <w:pStyle w:val="TableContents"/>
              <w:bidi w:val="0"/>
              <w:spacing w:before="0" w:after="283"/>
              <w:jc w:val="both"/>
              <w:rPr>
                <w:sz w:val="20"/>
              </w:rPr>
            </w:pPr>
            <w:r>
              <w:rPr>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tc>
      </w:tr>
    </w:tbl>
    <w:p>
      <w:pPr>
        <w:pStyle w:val="TextBody"/>
        <w:bidi w:val="0"/>
        <w:spacing w:before="0" w:after="0"/>
        <w:ind w:left="14" w:right="14"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9"/>
        <w:gridCol w:w="10026"/>
      </w:tblGrid>
      <w:tr>
        <w:trPr/>
        <w:tc>
          <w:tcPr>
            <w:tcW w:w="179" w:type="dxa"/>
            <w:tcBorders/>
            <w:vAlign w:val="center"/>
          </w:tcPr>
          <w:p>
            <w:pPr>
              <w:pStyle w:val="TableContents"/>
              <w:bidi w:val="0"/>
              <w:spacing w:before="0" w:after="283"/>
              <w:jc w:val="both"/>
              <w:rPr>
                <w:sz w:val="20"/>
              </w:rPr>
            </w:pPr>
            <w:r>
              <w:rPr>
                <w:sz w:val="20"/>
              </w:rPr>
              <w:t xml:space="preserve">3. </w:t>
            </w:r>
          </w:p>
        </w:tc>
        <w:tc>
          <w:tcPr>
            <w:tcW w:w="10026" w:type="dxa"/>
            <w:tcBorders/>
            <w:vAlign w:val="center"/>
          </w:tcPr>
          <w:p>
            <w:pPr>
              <w:pStyle w:val="TableContents"/>
              <w:bidi w:val="0"/>
              <w:spacing w:before="0" w:after="283"/>
              <w:jc w:val="both"/>
              <w:rPr>
                <w:sz w:val="20"/>
              </w:rPr>
            </w:pPr>
            <w:r>
              <w:rPr>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tc>
      </w:tr>
    </w:tbl>
    <w:p>
      <w:pPr>
        <w:pStyle w:val="TextBody"/>
        <w:bidi w:val="0"/>
        <w:spacing w:before="0" w:after="0"/>
        <w:ind w:left="14" w:right="14"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2"/>
        <w:gridCol w:w="10033"/>
      </w:tblGrid>
      <w:tr>
        <w:trPr/>
        <w:tc>
          <w:tcPr>
            <w:tcW w:w="172" w:type="dxa"/>
            <w:tcBorders/>
            <w:vAlign w:val="center"/>
          </w:tcPr>
          <w:p>
            <w:pPr>
              <w:pStyle w:val="TableContents"/>
              <w:bidi w:val="0"/>
              <w:spacing w:before="0" w:after="283"/>
              <w:jc w:val="both"/>
              <w:rPr>
                <w:sz w:val="20"/>
              </w:rPr>
            </w:pPr>
            <w:r>
              <w:rPr>
                <w:sz w:val="20"/>
              </w:rPr>
              <w:t xml:space="preserve">4. </w:t>
            </w:r>
          </w:p>
        </w:tc>
        <w:tc>
          <w:tcPr>
            <w:tcW w:w="10033" w:type="dxa"/>
            <w:tcBorders/>
            <w:vAlign w:val="center"/>
          </w:tcPr>
          <w:p>
            <w:pPr>
              <w:pStyle w:val="TableContents"/>
              <w:bidi w:val="0"/>
              <w:spacing w:before="0" w:after="283"/>
              <w:jc w:val="both"/>
              <w:rPr>
                <w:sz w:val="20"/>
              </w:rPr>
            </w:pPr>
            <w:r>
              <w:rPr>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tc>
      </w:tr>
    </w:tbl>
    <w:p>
      <w:pPr>
        <w:pStyle w:val="TextBody"/>
        <w:bidi w:val="0"/>
        <w:spacing w:before="0" w:after="0"/>
        <w:ind w:left="14" w:right="14"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0"/>
        <w:gridCol w:w="129"/>
        <w:gridCol w:w="9996"/>
      </w:tblGrid>
      <w:tr>
        <w:trPr/>
        <w:tc>
          <w:tcPr>
            <w:tcW w:w="80" w:type="dxa"/>
            <w:tcBorders/>
            <w:vAlign w:val="center"/>
          </w:tcPr>
          <w:p>
            <w:pPr>
              <w:pStyle w:val="TableContents"/>
              <w:bidi w:val="0"/>
              <w:spacing w:before="0" w:after="283"/>
              <w:jc w:val="both"/>
              <w:rPr/>
            </w:pPr>
            <w:r>
              <w:rPr/>
              <w:t> </w:t>
            </w:r>
          </w:p>
        </w:tc>
        <w:tc>
          <w:tcPr>
            <w:tcW w:w="129" w:type="dxa"/>
            <w:tcBorders/>
            <w:vAlign w:val="center"/>
          </w:tcPr>
          <w:p>
            <w:pPr>
              <w:pStyle w:val="TableContents"/>
              <w:bidi w:val="0"/>
              <w:spacing w:before="0" w:after="283"/>
              <w:jc w:val="left"/>
              <w:rPr>
                <w:sz w:val="20"/>
              </w:rPr>
            </w:pPr>
            <w:r>
              <w:rPr>
                <w:sz w:val="20"/>
              </w:rPr>
              <w:t>a)</w:t>
            </w:r>
          </w:p>
        </w:tc>
        <w:tc>
          <w:tcPr>
            <w:tcW w:w="9996" w:type="dxa"/>
            <w:tcBorders/>
            <w:vAlign w:val="center"/>
          </w:tcPr>
          <w:p>
            <w:pPr>
              <w:pStyle w:val="TableContents"/>
              <w:bidi w:val="0"/>
              <w:spacing w:before="0" w:after="283"/>
              <w:jc w:val="both"/>
              <w:rPr>
                <w:sz w:val="20"/>
              </w:rPr>
            </w:pPr>
            <w:r>
              <w:rPr>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255"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6"/>
        <w:gridCol w:w="187"/>
        <w:gridCol w:w="9922"/>
      </w:tblGrid>
      <w:tr>
        <w:trPr/>
        <w:tc>
          <w:tcPr>
            <w:tcW w:w="96" w:type="dxa"/>
            <w:tcBorders/>
            <w:vAlign w:val="center"/>
          </w:tcPr>
          <w:p>
            <w:pPr>
              <w:pStyle w:val="TableContents"/>
              <w:bidi w:val="0"/>
              <w:spacing w:before="0" w:after="283"/>
              <w:jc w:val="both"/>
              <w:rPr/>
            </w:pPr>
            <w:r>
              <w:rPr/>
              <w:t xml:space="preserve">  </w:t>
            </w:r>
          </w:p>
        </w:tc>
        <w:tc>
          <w:tcPr>
            <w:tcW w:w="187" w:type="dxa"/>
            <w:tcBorders/>
            <w:vAlign w:val="center"/>
          </w:tcPr>
          <w:p>
            <w:pPr>
              <w:pStyle w:val="TableContents"/>
              <w:bidi w:val="0"/>
              <w:spacing w:before="0" w:after="283"/>
              <w:jc w:val="both"/>
              <w:rPr/>
            </w:pPr>
            <w:r>
              <w:rPr/>
              <w:t xml:space="preserve">b) </w:t>
            </w:r>
          </w:p>
        </w:tc>
        <w:tc>
          <w:tcPr>
            <w:tcW w:w="9922" w:type="dxa"/>
            <w:tcBorders/>
            <w:vAlign w:val="center"/>
          </w:tcPr>
          <w:p>
            <w:pPr>
              <w:pStyle w:val="TableContents"/>
              <w:bidi w:val="0"/>
              <w:spacing w:before="0" w:after="283"/>
              <w:jc w:val="both"/>
              <w:rPr/>
            </w:pPr>
            <w:r>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tc>
      </w:tr>
    </w:tbl>
    <w:tbl>
      <w:tblPr>
        <w:tblW w:w="5000" w:type="pct"/>
        <w:jc w:val="left"/>
        <w:tblInd w:w="0" w:type="dxa"/>
        <w:tblLayout w:type="fixed"/>
        <w:tblCellMar>
          <w:top w:w="0" w:type="dxa"/>
          <w:left w:w="0" w:type="dxa"/>
          <w:bottom w:w="0" w:type="dxa"/>
          <w:right w:w="0" w:type="dxa"/>
        </w:tblCellMar>
      </w:tblPr>
      <w:tblGrid>
        <w:gridCol w:w="2750"/>
        <w:gridCol w:w="4704"/>
        <w:gridCol w:w="2751"/>
      </w:tblGrid>
      <w:tr>
        <w:trPr/>
        <w:tc>
          <w:tcPr>
            <w:tcW w:w="2750" w:type="dxa"/>
            <w:tcBorders/>
            <w:vAlign w:val="center"/>
          </w:tcPr>
          <w:p>
            <w:pPr>
              <w:pStyle w:val="TableContents"/>
              <w:bidi w:val="0"/>
              <w:spacing w:before="0" w:after="283"/>
              <w:jc w:val="left"/>
              <w:rPr>
                <w:sz w:val="4"/>
                <w:szCs w:val="4"/>
              </w:rPr>
            </w:pPr>
            <w:r>
              <w:rPr>
                <w:sz w:val="4"/>
                <w:szCs w:val="4"/>
              </w:rPr>
            </w:r>
          </w:p>
        </w:tc>
        <w:tc>
          <w:tcPr>
            <w:tcW w:w="4704" w:type="dxa"/>
            <w:tcBorders/>
            <w:vAlign w:val="center"/>
          </w:tcPr>
          <w:p>
            <w:pPr>
              <w:pStyle w:val="TableContents"/>
              <w:bidi w:val="0"/>
              <w:spacing w:before="0" w:after="283"/>
              <w:jc w:val="left"/>
              <w:rPr/>
            </w:pPr>
            <w:r>
              <w:rPr/>
              <w:t> </w:t>
            </w:r>
          </w:p>
        </w:tc>
        <w:tc>
          <w:tcPr>
            <w:tcW w:w="275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0" w:type="dxa"/>
          <w:right w:w="0" w:type="dxa"/>
        </w:tblCellMar>
      </w:tblPr>
      <w:tblGrid>
        <w:gridCol w:w="101"/>
        <w:gridCol w:w="192"/>
        <w:gridCol w:w="9912"/>
      </w:tblGrid>
      <w:tr>
        <w:trPr/>
        <w:tc>
          <w:tcPr>
            <w:tcW w:w="101" w:type="dxa"/>
            <w:tcBorders/>
            <w:vAlign w:val="center"/>
          </w:tcPr>
          <w:p>
            <w:pPr>
              <w:pStyle w:val="TableContents"/>
              <w:bidi w:val="0"/>
              <w:spacing w:before="0" w:after="283"/>
              <w:jc w:val="both"/>
              <w:rPr/>
            </w:pPr>
            <w:r>
              <w:rPr/>
              <w:t xml:space="preserve">  </w:t>
            </w:r>
          </w:p>
        </w:tc>
        <w:tc>
          <w:tcPr>
            <w:tcW w:w="192" w:type="dxa"/>
            <w:tcBorders/>
            <w:vAlign w:val="center"/>
          </w:tcPr>
          <w:p>
            <w:pPr>
              <w:pStyle w:val="TableContents"/>
              <w:bidi w:val="0"/>
              <w:spacing w:before="0" w:after="283"/>
              <w:jc w:val="both"/>
              <w:rPr/>
            </w:pPr>
            <w:r>
              <w:rPr/>
              <w:t xml:space="preserve">c) </w:t>
            </w:r>
          </w:p>
        </w:tc>
        <w:tc>
          <w:tcPr>
            <w:tcW w:w="9912" w:type="dxa"/>
            <w:tcBorders/>
            <w:vAlign w:val="center"/>
          </w:tcPr>
          <w:p>
            <w:pPr>
              <w:pStyle w:val="TableContents"/>
              <w:bidi w:val="0"/>
              <w:spacing w:before="0" w:after="283"/>
              <w:jc w:val="both"/>
              <w:rPr/>
            </w:pPr>
            <w:r>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96"/>
        <w:gridCol w:w="187"/>
        <w:gridCol w:w="9922"/>
      </w:tblGrid>
      <w:tr>
        <w:trPr/>
        <w:tc>
          <w:tcPr>
            <w:tcW w:w="96" w:type="dxa"/>
            <w:tcBorders/>
            <w:vAlign w:val="center"/>
          </w:tcPr>
          <w:p>
            <w:pPr>
              <w:pStyle w:val="TableContents"/>
              <w:bidi w:val="0"/>
              <w:spacing w:before="0" w:after="283"/>
              <w:jc w:val="both"/>
              <w:rPr/>
            </w:pPr>
            <w:r>
              <w:rPr/>
              <w:t xml:space="preserve">  </w:t>
            </w:r>
          </w:p>
        </w:tc>
        <w:tc>
          <w:tcPr>
            <w:tcW w:w="187" w:type="dxa"/>
            <w:tcBorders/>
            <w:vAlign w:val="center"/>
          </w:tcPr>
          <w:p>
            <w:pPr>
              <w:pStyle w:val="TableContents"/>
              <w:bidi w:val="0"/>
              <w:spacing w:before="0" w:after="283"/>
              <w:jc w:val="both"/>
              <w:rPr/>
            </w:pPr>
            <w:r>
              <w:rPr/>
              <w:t xml:space="preserve">d) </w:t>
            </w:r>
          </w:p>
        </w:tc>
        <w:tc>
          <w:tcPr>
            <w:tcW w:w="9922" w:type="dxa"/>
            <w:tcBorders/>
            <w:vAlign w:val="center"/>
          </w:tcPr>
          <w:p>
            <w:pPr>
              <w:pStyle w:val="TableContents"/>
              <w:bidi w:val="0"/>
              <w:spacing w:before="0" w:after="283"/>
              <w:jc w:val="both"/>
              <w:rPr/>
            </w:pPr>
            <w:r>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tc>
      </w:tr>
    </w:tbl>
    <w:p>
      <w:pPr>
        <w:pStyle w:val="TextBody"/>
        <w:bidi w:val="0"/>
        <w:spacing w:before="0" w:after="0"/>
        <w:ind w:left="14" w:right="14"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7"/>
        <w:gridCol w:w="10008"/>
      </w:tblGrid>
      <w:tr>
        <w:trPr/>
        <w:tc>
          <w:tcPr>
            <w:tcW w:w="197" w:type="dxa"/>
            <w:tcBorders/>
            <w:vAlign w:val="center"/>
          </w:tcPr>
          <w:p>
            <w:pPr>
              <w:pStyle w:val="TableContents"/>
              <w:bidi w:val="0"/>
              <w:spacing w:before="0" w:after="283"/>
              <w:jc w:val="both"/>
              <w:rPr/>
            </w:pPr>
            <w:r>
              <w:rPr/>
              <w:t xml:space="preserve">5. </w:t>
            </w:r>
          </w:p>
        </w:tc>
        <w:tc>
          <w:tcPr>
            <w:tcW w:w="10008" w:type="dxa"/>
            <w:tcBorders/>
            <w:vAlign w:val="center"/>
          </w:tcPr>
          <w:p>
            <w:pPr>
              <w:pStyle w:val="TableContents"/>
              <w:bidi w:val="0"/>
              <w:spacing w:before="0" w:after="283"/>
              <w:jc w:val="both"/>
              <w:rPr/>
            </w:pPr>
            <w:r>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tc>
      </w:tr>
    </w:tbl>
    <w:p>
      <w:pPr>
        <w:pStyle w:val="TextBody"/>
        <w:bidi w:val="0"/>
        <w:spacing w:before="0" w:after="0"/>
        <w:ind w:left="14" w:right="14"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
        <w:gridCol w:w="194"/>
        <w:gridCol w:w="9909"/>
      </w:tblGrid>
      <w:tr>
        <w:trPr/>
        <w:tc>
          <w:tcPr>
            <w:tcW w:w="102" w:type="dxa"/>
            <w:tcBorders/>
            <w:vAlign w:val="center"/>
          </w:tcPr>
          <w:p>
            <w:pPr>
              <w:pStyle w:val="TableContents"/>
              <w:bidi w:val="0"/>
              <w:spacing w:before="0" w:after="283"/>
              <w:jc w:val="both"/>
              <w:rPr/>
            </w:pPr>
            <w:r>
              <w:rPr/>
              <w:t xml:space="preserve">  </w:t>
            </w:r>
          </w:p>
        </w:tc>
        <w:tc>
          <w:tcPr>
            <w:tcW w:w="194" w:type="dxa"/>
            <w:tcBorders/>
            <w:vAlign w:val="center"/>
          </w:tcPr>
          <w:p>
            <w:pPr>
              <w:pStyle w:val="TableContents"/>
              <w:bidi w:val="0"/>
              <w:spacing w:before="0" w:after="283"/>
              <w:jc w:val="both"/>
              <w:rPr/>
            </w:pPr>
            <w:r>
              <w:rPr/>
              <w:t xml:space="preserve">a) </w:t>
            </w:r>
          </w:p>
        </w:tc>
        <w:tc>
          <w:tcPr>
            <w:tcW w:w="9909" w:type="dxa"/>
            <w:tcBorders/>
            <w:vAlign w:val="center"/>
          </w:tcPr>
          <w:p>
            <w:pPr>
              <w:pStyle w:val="TableContents"/>
              <w:bidi w:val="0"/>
              <w:spacing w:before="0" w:after="283"/>
              <w:jc w:val="both"/>
              <w:rPr/>
            </w:pPr>
            <w:r>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tc>
      </w:tr>
    </w:tbl>
    <w:p>
      <w:pPr>
        <w:pStyle w:val="TextBody"/>
        <w:bidi w:val="0"/>
        <w:spacing w:before="0" w:after="0"/>
        <w:ind w:left="14" w:right="14"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5"/>
        <w:gridCol w:w="225"/>
        <w:gridCol w:w="9865"/>
      </w:tblGrid>
      <w:tr>
        <w:trPr/>
        <w:tc>
          <w:tcPr>
            <w:tcW w:w="115" w:type="dxa"/>
            <w:tcBorders/>
            <w:vAlign w:val="center"/>
          </w:tcPr>
          <w:p>
            <w:pPr>
              <w:pStyle w:val="TableContents"/>
              <w:bidi w:val="0"/>
              <w:spacing w:before="0" w:after="283"/>
              <w:jc w:val="both"/>
              <w:rPr/>
            </w:pPr>
            <w:r>
              <w:rPr/>
              <w:t xml:space="preserve">  </w:t>
            </w:r>
          </w:p>
        </w:tc>
        <w:tc>
          <w:tcPr>
            <w:tcW w:w="225" w:type="dxa"/>
            <w:tcBorders/>
            <w:vAlign w:val="center"/>
          </w:tcPr>
          <w:p>
            <w:pPr>
              <w:pStyle w:val="TableContents"/>
              <w:bidi w:val="0"/>
              <w:spacing w:before="0" w:after="283"/>
              <w:jc w:val="both"/>
              <w:rPr/>
            </w:pPr>
            <w:r>
              <w:rPr/>
              <w:t xml:space="preserve">b) </w:t>
            </w:r>
          </w:p>
        </w:tc>
        <w:tc>
          <w:tcPr>
            <w:tcW w:w="9865" w:type="dxa"/>
            <w:tcBorders/>
            <w:vAlign w:val="center"/>
          </w:tcPr>
          <w:p>
            <w:pPr>
              <w:pStyle w:val="TableContents"/>
              <w:bidi w:val="0"/>
              <w:spacing w:before="0" w:after="283"/>
              <w:jc w:val="both"/>
              <w:rPr/>
            </w:pPr>
            <w:r>
              <w:rPr/>
              <w:t xml:space="preserve">Any fraud, whether or not material, that involves management or other employees who have a significant role in the registrant’s internal control over financial reporting. </w:t>
            </w:r>
          </w:p>
        </w:tc>
      </w:tr>
    </w:tbl>
    <w:p>
      <w:pPr>
        <w:pStyle w:val="TextBody"/>
        <w:bidi w:val="0"/>
        <w:spacing w:before="0" w:after="0"/>
        <w:ind w:left="14" w:right="14" w:hanging="0"/>
        <w:jc w:val="left"/>
        <w:rPr>
          <w:caps w:val="false"/>
          <w:smallCaps w:val="false"/>
        </w:rPr>
      </w:pPr>
      <w:r>
        <w:rPr>
          <w:caps w:val="false"/>
          <w:smallCaps w:val="false"/>
        </w:rPr>
        <w:t> </w:t>
      </w:r>
    </w:p>
    <w:tbl>
      <w:tblPr>
        <w:tblW w:w="4960" w:type="dxa"/>
        <w:jc w:val="left"/>
        <w:tblInd w:w="0" w:type="dxa"/>
        <w:tblLayout w:type="fixed"/>
        <w:tblCellMar>
          <w:top w:w="0" w:type="dxa"/>
          <w:left w:w="0" w:type="dxa"/>
          <w:bottom w:w="0" w:type="dxa"/>
          <w:right w:w="0" w:type="dxa"/>
        </w:tblCellMar>
      </w:tblPr>
      <w:tblGrid>
        <w:gridCol w:w="2195"/>
        <w:gridCol w:w="2765"/>
      </w:tblGrid>
      <w:tr>
        <w:trPr/>
        <w:tc>
          <w:tcPr>
            <w:tcW w:w="2195" w:type="dxa"/>
            <w:tcBorders/>
            <w:vAlign w:val="center"/>
          </w:tcPr>
          <w:p>
            <w:pPr>
              <w:pStyle w:val="TableContents"/>
              <w:bidi w:val="0"/>
              <w:spacing w:before="0" w:after="283"/>
              <w:jc w:val="left"/>
              <w:rPr/>
            </w:pPr>
            <w:r>
              <w:rPr/>
              <w:t>Date: August 11, 2026</w:t>
            </w:r>
          </w:p>
        </w:tc>
        <w:tc>
          <w:tcPr>
            <w:tcW w:w="2765" w:type="dxa"/>
            <w:tcBorders>
              <w:bottom w:val="single" w:sz="12" w:space="0" w:color="000000"/>
            </w:tcBorders>
            <w:tcMar>
              <w:bottom w:w="28" w:type="dxa"/>
            </w:tcMar>
            <w:vAlign w:val="center"/>
          </w:tcPr>
          <w:p>
            <w:pPr>
              <w:pStyle w:val="TableContents"/>
              <w:bidi w:val="0"/>
              <w:spacing w:before="0" w:after="283"/>
              <w:jc w:val="left"/>
              <w:rPr/>
            </w:pPr>
            <w:r>
              <w:rPr/>
              <w:t>/s/ Jesse Shefferman</w:t>
            </w:r>
          </w:p>
        </w:tc>
      </w:tr>
      <w:tr>
        <w:trPr/>
        <w:tc>
          <w:tcPr>
            <w:tcW w:w="2195" w:type="dxa"/>
            <w:tcBorders/>
            <w:vAlign w:val="center"/>
          </w:tcPr>
          <w:p>
            <w:pPr>
              <w:pStyle w:val="TableContents"/>
              <w:bidi w:val="0"/>
              <w:spacing w:before="0" w:after="283"/>
              <w:jc w:val="left"/>
              <w:rPr/>
            </w:pPr>
            <w:r>
              <w:rPr/>
              <w:t xml:space="preserve">  </w:t>
            </w:r>
          </w:p>
        </w:tc>
        <w:tc>
          <w:tcPr>
            <w:tcW w:w="2765" w:type="dxa"/>
            <w:tcBorders/>
            <w:vAlign w:val="center"/>
          </w:tcPr>
          <w:p>
            <w:pPr>
              <w:pStyle w:val="TableContents"/>
              <w:bidi w:val="0"/>
              <w:spacing w:before="0" w:after="283"/>
              <w:jc w:val="left"/>
              <w:rPr/>
            </w:pPr>
            <w:r>
              <w:rPr/>
              <w:t>Jesse Shefferman</w:t>
              <w:br/>
              <w:t>Chief Executive Officer</w:t>
            </w:r>
          </w:p>
        </w:tc>
      </w:tr>
      <w:tr>
        <w:trPr/>
        <w:tc>
          <w:tcPr>
            <w:tcW w:w="2195" w:type="dxa"/>
            <w:tcBorders/>
            <w:vAlign w:val="center"/>
          </w:tcPr>
          <w:p>
            <w:pPr>
              <w:pStyle w:val="TableContents"/>
              <w:bidi w:val="0"/>
              <w:spacing w:before="0" w:after="283"/>
              <w:jc w:val="left"/>
              <w:rPr/>
            </w:pPr>
            <w:r>
              <w:rPr/>
              <w:t> </w:t>
            </w:r>
          </w:p>
        </w:tc>
        <w:tc>
          <w:tcPr>
            <w:tcW w:w="2765" w:type="dxa"/>
            <w:tcBorders/>
            <w:vAlign w:val="center"/>
          </w:tcPr>
          <w:p>
            <w:pPr>
              <w:pStyle w:val="TableContents"/>
              <w:bidi w:val="0"/>
              <w:spacing w:before="0" w:after="283"/>
              <w:jc w:val="left"/>
              <w:rPr/>
            </w:pPr>
            <w:r>
              <w:rPr/>
              <w:t>(</w:t>
            </w:r>
            <w:r>
              <w:rPr>
                <w:i/>
              </w:rPr>
              <w:t>Principal Executive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0" w:name="ea029860001ex31-2.htm"/>
      <w:bookmarkStart w:id="31" w:name="ksea029860001ex312"/>
      <w:bookmarkEnd w:id="30"/>
      <w:bookmarkEnd w:id="31"/>
      <w:r>
        <w:rPr>
          <w:rFonts w:ascii="Times New Roman;Times;Serif" w:hAnsi="Times New Roman;Times;Serif"/>
          <w:b/>
          <w:i w:val="false"/>
          <w:caps w:val="false"/>
          <w:smallCaps w:val="false"/>
          <w:sz w:val="20"/>
        </w:rPr>
        <w:t>Exhibit 31.2</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CERTIFICATION PURSUANT TO</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SECURITIES EXCHANGE ACT RULES 13a-14(a) and 15d-14(a)</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AS ADOPTED PURSUANT TO</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302 OF THE SARBANES-OXLEY ACT OF 2002</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Patrick Fabbio, certify that:</w:t>
      </w:r>
    </w:p>
    <w:p>
      <w:pPr>
        <w:pStyle w:val="TextBody"/>
        <w:bidi w:val="0"/>
        <w:spacing w:before="0" w:after="0"/>
        <w:ind w:left="0" w:right="0" w:hanging="0"/>
        <w:jc w:val="left"/>
        <w:rPr>
          <w:caps w:val="false"/>
          <w:smallCaps w:val="false"/>
        </w:rPr>
      </w:pPr>
      <w:r>
        <w:rPr>
          <w:caps w:val="false"/>
          <w:smallCaps w:val="false"/>
        </w:rPr>
        <w:t> </w:t>
      </w:r>
    </w:p>
    <w:tbl>
      <w:tblPr>
        <w:tblW w:w="9745" w:type="dxa"/>
        <w:jc w:val="left"/>
        <w:tblInd w:w="0" w:type="dxa"/>
        <w:tblLayout w:type="fixed"/>
        <w:tblCellMar>
          <w:top w:w="0" w:type="dxa"/>
          <w:left w:w="0" w:type="dxa"/>
          <w:bottom w:w="0" w:type="dxa"/>
          <w:right w:w="0" w:type="dxa"/>
        </w:tblCellMar>
      </w:tblPr>
      <w:tblGrid>
        <w:gridCol w:w="230"/>
        <w:gridCol w:w="9515"/>
      </w:tblGrid>
      <w:tr>
        <w:trPr/>
        <w:tc>
          <w:tcPr>
            <w:tcW w:w="230" w:type="dxa"/>
            <w:tcBorders/>
            <w:vAlign w:val="center"/>
          </w:tcPr>
          <w:p>
            <w:pPr>
              <w:pStyle w:val="TableContents"/>
              <w:bidi w:val="0"/>
              <w:spacing w:before="0" w:after="283"/>
              <w:jc w:val="left"/>
              <w:rPr>
                <w:sz w:val="20"/>
              </w:rPr>
            </w:pPr>
            <w:r>
              <w:rPr>
                <w:sz w:val="20"/>
              </w:rPr>
              <w:t xml:space="preserve">1. </w:t>
            </w:r>
          </w:p>
        </w:tc>
        <w:tc>
          <w:tcPr>
            <w:tcW w:w="9515" w:type="dxa"/>
            <w:tcBorders/>
            <w:vAlign w:val="center"/>
          </w:tcPr>
          <w:p>
            <w:pPr>
              <w:pStyle w:val="TableContents"/>
              <w:bidi w:val="0"/>
              <w:spacing w:before="0" w:after="283"/>
              <w:jc w:val="both"/>
              <w:rPr>
                <w:sz w:val="20"/>
              </w:rPr>
            </w:pPr>
            <w:r>
              <w:rPr>
                <w:sz w:val="20"/>
              </w:rPr>
              <w:t xml:space="preserve">I have reviewed this Quarterly Report on Form 10-Q for the period ended June 30, 2026 of Protara Therapeutics, Inc.; </w:t>
            </w:r>
          </w:p>
        </w:tc>
      </w:tr>
    </w:tbl>
    <w:p>
      <w:pPr>
        <w:pStyle w:val="TextBody"/>
        <w:bidi w:val="0"/>
        <w:spacing w:before="0" w:after="0"/>
        <w:ind w:left="14" w:right="14"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283"/>
              <w:jc w:val="left"/>
              <w:rPr>
                <w:sz w:val="20"/>
              </w:rPr>
            </w:pPr>
            <w:r>
              <w:rPr>
                <w:sz w:val="20"/>
              </w:rPr>
              <w:t xml:space="preserve">2. </w:t>
            </w:r>
          </w:p>
        </w:tc>
        <w:tc>
          <w:tcPr>
            <w:tcW w:w="10031" w:type="dxa"/>
            <w:tcBorders/>
            <w:vAlign w:val="center"/>
          </w:tcPr>
          <w:p>
            <w:pPr>
              <w:pStyle w:val="TableContents"/>
              <w:bidi w:val="0"/>
              <w:spacing w:before="0" w:after="283"/>
              <w:jc w:val="both"/>
              <w:rPr>
                <w:sz w:val="20"/>
              </w:rPr>
            </w:pPr>
            <w:r>
              <w:rPr>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tc>
      </w:tr>
    </w:tbl>
    <w:p>
      <w:pPr>
        <w:pStyle w:val="TextBody"/>
        <w:bidi w:val="0"/>
        <w:spacing w:before="0" w:after="0"/>
        <w:ind w:left="14" w:right="14"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9"/>
        <w:gridCol w:w="10026"/>
      </w:tblGrid>
      <w:tr>
        <w:trPr/>
        <w:tc>
          <w:tcPr>
            <w:tcW w:w="179" w:type="dxa"/>
            <w:tcBorders/>
            <w:vAlign w:val="center"/>
          </w:tcPr>
          <w:p>
            <w:pPr>
              <w:pStyle w:val="TableContents"/>
              <w:bidi w:val="0"/>
              <w:spacing w:before="0" w:after="283"/>
              <w:jc w:val="both"/>
              <w:rPr>
                <w:sz w:val="20"/>
              </w:rPr>
            </w:pPr>
            <w:r>
              <w:rPr>
                <w:sz w:val="20"/>
              </w:rPr>
              <w:t xml:space="preserve">3. </w:t>
            </w:r>
          </w:p>
        </w:tc>
        <w:tc>
          <w:tcPr>
            <w:tcW w:w="10026" w:type="dxa"/>
            <w:tcBorders/>
            <w:vAlign w:val="center"/>
          </w:tcPr>
          <w:p>
            <w:pPr>
              <w:pStyle w:val="TableContents"/>
              <w:bidi w:val="0"/>
              <w:spacing w:before="0" w:after="283"/>
              <w:jc w:val="both"/>
              <w:rPr>
                <w:sz w:val="20"/>
              </w:rPr>
            </w:pPr>
            <w:r>
              <w:rPr>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tc>
      </w:tr>
    </w:tbl>
    <w:p>
      <w:pPr>
        <w:pStyle w:val="TextBody"/>
        <w:bidi w:val="0"/>
        <w:spacing w:before="0" w:after="0"/>
        <w:ind w:left="14" w:right="14"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2"/>
        <w:gridCol w:w="10033"/>
      </w:tblGrid>
      <w:tr>
        <w:trPr/>
        <w:tc>
          <w:tcPr>
            <w:tcW w:w="172" w:type="dxa"/>
            <w:tcBorders/>
            <w:vAlign w:val="center"/>
          </w:tcPr>
          <w:p>
            <w:pPr>
              <w:pStyle w:val="TableContents"/>
              <w:bidi w:val="0"/>
              <w:spacing w:before="0" w:after="283"/>
              <w:jc w:val="both"/>
              <w:rPr>
                <w:sz w:val="20"/>
              </w:rPr>
            </w:pPr>
            <w:r>
              <w:rPr>
                <w:sz w:val="20"/>
              </w:rPr>
              <w:t xml:space="preserve">4. </w:t>
            </w:r>
          </w:p>
        </w:tc>
        <w:tc>
          <w:tcPr>
            <w:tcW w:w="10033" w:type="dxa"/>
            <w:tcBorders/>
            <w:vAlign w:val="center"/>
          </w:tcPr>
          <w:p>
            <w:pPr>
              <w:pStyle w:val="TableContents"/>
              <w:bidi w:val="0"/>
              <w:spacing w:before="0" w:after="283"/>
              <w:jc w:val="both"/>
              <w:rPr>
                <w:sz w:val="20"/>
              </w:rPr>
            </w:pPr>
            <w:r>
              <w:rPr>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tc>
      </w:tr>
    </w:tbl>
    <w:p>
      <w:pPr>
        <w:pStyle w:val="TextBody"/>
        <w:bidi w:val="0"/>
        <w:spacing w:before="0" w:after="0"/>
        <w:ind w:left="14" w:right="14"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8"/>
        <w:gridCol w:w="128"/>
        <w:gridCol w:w="9979"/>
      </w:tblGrid>
      <w:tr>
        <w:trPr/>
        <w:tc>
          <w:tcPr>
            <w:tcW w:w="98" w:type="dxa"/>
            <w:tcBorders/>
            <w:vAlign w:val="center"/>
          </w:tcPr>
          <w:p>
            <w:pPr>
              <w:pStyle w:val="TableContents"/>
              <w:bidi w:val="0"/>
              <w:spacing w:before="0" w:after="283"/>
              <w:jc w:val="both"/>
              <w:rPr/>
            </w:pPr>
            <w:r>
              <w:rPr/>
              <w:t xml:space="preserve">  </w:t>
            </w:r>
          </w:p>
        </w:tc>
        <w:tc>
          <w:tcPr>
            <w:tcW w:w="128" w:type="dxa"/>
            <w:tcBorders/>
            <w:vAlign w:val="center"/>
          </w:tcPr>
          <w:p>
            <w:pPr>
              <w:pStyle w:val="TableContents"/>
              <w:bidi w:val="0"/>
              <w:spacing w:before="0" w:after="283"/>
              <w:jc w:val="left"/>
              <w:rPr>
                <w:sz w:val="20"/>
              </w:rPr>
            </w:pPr>
            <w:r>
              <w:rPr>
                <w:sz w:val="20"/>
              </w:rPr>
              <w:t>a)</w:t>
            </w:r>
          </w:p>
        </w:tc>
        <w:tc>
          <w:tcPr>
            <w:tcW w:w="9979" w:type="dxa"/>
            <w:tcBorders/>
            <w:vAlign w:val="center"/>
          </w:tcPr>
          <w:p>
            <w:pPr>
              <w:pStyle w:val="TableContents"/>
              <w:bidi w:val="0"/>
              <w:spacing w:before="0" w:after="283"/>
              <w:jc w:val="both"/>
              <w:rPr>
                <w:sz w:val="20"/>
              </w:rPr>
            </w:pPr>
            <w:r>
              <w:rPr>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tc>
      </w:tr>
    </w:tbl>
    <w:p>
      <w:pPr>
        <w:pStyle w:val="TextBody"/>
        <w:bidi w:val="0"/>
        <w:spacing w:before="0" w:after="0"/>
        <w:ind w:left="255"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6"/>
        <w:gridCol w:w="160"/>
        <w:gridCol w:w="9949"/>
      </w:tblGrid>
      <w:tr>
        <w:trPr/>
        <w:tc>
          <w:tcPr>
            <w:tcW w:w="96" w:type="dxa"/>
            <w:tcBorders/>
            <w:vAlign w:val="center"/>
          </w:tcPr>
          <w:p>
            <w:pPr>
              <w:pStyle w:val="TableContents"/>
              <w:bidi w:val="0"/>
              <w:spacing w:before="0" w:after="283"/>
              <w:jc w:val="both"/>
              <w:rPr/>
            </w:pPr>
            <w:r>
              <w:rPr/>
              <w:t xml:space="preserve">  </w:t>
            </w:r>
          </w:p>
        </w:tc>
        <w:tc>
          <w:tcPr>
            <w:tcW w:w="160" w:type="dxa"/>
            <w:tcBorders/>
            <w:vAlign w:val="center"/>
          </w:tcPr>
          <w:p>
            <w:pPr>
              <w:pStyle w:val="TableContents"/>
              <w:bidi w:val="0"/>
              <w:spacing w:before="0" w:after="283"/>
              <w:jc w:val="both"/>
              <w:rPr/>
            </w:pPr>
            <w:r>
              <w:rPr/>
              <w:t>b)</w:t>
            </w:r>
          </w:p>
        </w:tc>
        <w:tc>
          <w:tcPr>
            <w:tcW w:w="9949" w:type="dxa"/>
            <w:tcBorders/>
            <w:vAlign w:val="center"/>
          </w:tcPr>
          <w:p>
            <w:pPr>
              <w:pStyle w:val="TableContents"/>
              <w:bidi w:val="0"/>
              <w:spacing w:before="0" w:after="283"/>
              <w:jc w:val="both"/>
              <w:rPr/>
            </w:pPr>
            <w:r>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tc>
      </w:tr>
    </w:tbl>
    <w:p>
      <w:pPr>
        <w:pStyle w:val="TextBody"/>
        <w:bidi w:val="0"/>
        <w:spacing w:before="0" w:after="0"/>
        <w:ind w:left="540" w:right="0" w:hanging="255"/>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1"/>
        <w:gridCol w:w="151"/>
        <w:gridCol w:w="9953"/>
      </w:tblGrid>
      <w:tr>
        <w:trPr/>
        <w:tc>
          <w:tcPr>
            <w:tcW w:w="101" w:type="dxa"/>
            <w:tcBorders/>
            <w:vAlign w:val="center"/>
          </w:tcPr>
          <w:p>
            <w:pPr>
              <w:pStyle w:val="TableContents"/>
              <w:bidi w:val="0"/>
              <w:spacing w:before="0" w:after="283"/>
              <w:jc w:val="both"/>
              <w:rPr/>
            </w:pPr>
            <w:r>
              <w:rPr/>
              <w:t xml:space="preserve">  </w:t>
            </w:r>
          </w:p>
        </w:tc>
        <w:tc>
          <w:tcPr>
            <w:tcW w:w="151" w:type="dxa"/>
            <w:tcBorders/>
            <w:vAlign w:val="center"/>
          </w:tcPr>
          <w:p>
            <w:pPr>
              <w:pStyle w:val="TableContents"/>
              <w:bidi w:val="0"/>
              <w:spacing w:before="0" w:after="283"/>
              <w:jc w:val="both"/>
              <w:rPr/>
            </w:pPr>
            <w:r>
              <w:rPr/>
              <w:t>c)</w:t>
            </w:r>
          </w:p>
        </w:tc>
        <w:tc>
          <w:tcPr>
            <w:tcW w:w="9953" w:type="dxa"/>
            <w:tcBorders/>
            <w:vAlign w:val="center"/>
          </w:tcPr>
          <w:p>
            <w:pPr>
              <w:pStyle w:val="TableContents"/>
              <w:bidi w:val="0"/>
              <w:spacing w:before="0" w:after="283"/>
              <w:jc w:val="both"/>
              <w:rPr/>
            </w:pPr>
            <w:r>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tc>
      </w:tr>
    </w:tbl>
    <w:p>
      <w:pPr>
        <w:pStyle w:val="TextBody"/>
        <w:bidi w:val="0"/>
        <w:spacing w:before="0" w:after="0"/>
        <w:ind w:left="540" w:right="0" w:hanging="255"/>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6"/>
        <w:gridCol w:w="187"/>
        <w:gridCol w:w="9922"/>
      </w:tblGrid>
      <w:tr>
        <w:trPr/>
        <w:tc>
          <w:tcPr>
            <w:tcW w:w="96" w:type="dxa"/>
            <w:tcBorders/>
            <w:vAlign w:val="center"/>
          </w:tcPr>
          <w:p>
            <w:pPr>
              <w:pStyle w:val="TableContents"/>
              <w:bidi w:val="0"/>
              <w:spacing w:before="0" w:after="283"/>
              <w:jc w:val="both"/>
              <w:rPr/>
            </w:pPr>
            <w:r>
              <w:rPr/>
              <w:t xml:space="preserve">  </w:t>
            </w:r>
          </w:p>
        </w:tc>
        <w:tc>
          <w:tcPr>
            <w:tcW w:w="187" w:type="dxa"/>
            <w:tcBorders/>
            <w:vAlign w:val="center"/>
          </w:tcPr>
          <w:p>
            <w:pPr>
              <w:pStyle w:val="TableContents"/>
              <w:bidi w:val="0"/>
              <w:spacing w:before="0" w:after="283"/>
              <w:jc w:val="both"/>
              <w:rPr/>
            </w:pPr>
            <w:r>
              <w:rPr/>
              <w:t xml:space="preserve">d) </w:t>
            </w:r>
          </w:p>
        </w:tc>
        <w:tc>
          <w:tcPr>
            <w:tcW w:w="9922" w:type="dxa"/>
            <w:tcBorders/>
            <w:vAlign w:val="center"/>
          </w:tcPr>
          <w:p>
            <w:pPr>
              <w:pStyle w:val="TableContents"/>
              <w:bidi w:val="0"/>
              <w:spacing w:before="0" w:after="283"/>
              <w:jc w:val="both"/>
              <w:rPr/>
            </w:pPr>
            <w:r>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tc>
      </w:tr>
    </w:tbl>
    <w:p>
      <w:pPr>
        <w:pStyle w:val="TextBody"/>
        <w:bidi w:val="0"/>
        <w:spacing w:before="0" w:after="0"/>
        <w:ind w:left="14" w:right="14"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7"/>
        <w:gridCol w:w="10008"/>
      </w:tblGrid>
      <w:tr>
        <w:trPr/>
        <w:tc>
          <w:tcPr>
            <w:tcW w:w="197" w:type="dxa"/>
            <w:tcBorders/>
            <w:vAlign w:val="center"/>
          </w:tcPr>
          <w:p>
            <w:pPr>
              <w:pStyle w:val="TableContents"/>
              <w:bidi w:val="0"/>
              <w:spacing w:before="0" w:after="283"/>
              <w:jc w:val="both"/>
              <w:rPr/>
            </w:pPr>
            <w:r>
              <w:rPr/>
              <w:t xml:space="preserve">5. </w:t>
            </w:r>
          </w:p>
        </w:tc>
        <w:tc>
          <w:tcPr>
            <w:tcW w:w="10008" w:type="dxa"/>
            <w:tcBorders/>
            <w:vAlign w:val="center"/>
          </w:tcPr>
          <w:p>
            <w:pPr>
              <w:pStyle w:val="TableContents"/>
              <w:bidi w:val="0"/>
              <w:spacing w:before="0" w:after="283"/>
              <w:jc w:val="both"/>
              <w:rPr/>
            </w:pPr>
            <w:r>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tc>
      </w:tr>
    </w:tbl>
    <w:p>
      <w:pPr>
        <w:pStyle w:val="TextBody"/>
        <w:bidi w:val="0"/>
        <w:spacing w:before="0" w:after="0"/>
        <w:ind w:left="14" w:right="14"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
        <w:gridCol w:w="194"/>
        <w:gridCol w:w="9909"/>
      </w:tblGrid>
      <w:tr>
        <w:trPr/>
        <w:tc>
          <w:tcPr>
            <w:tcW w:w="102" w:type="dxa"/>
            <w:tcBorders/>
            <w:vAlign w:val="center"/>
          </w:tcPr>
          <w:p>
            <w:pPr>
              <w:pStyle w:val="TableContents"/>
              <w:bidi w:val="0"/>
              <w:spacing w:before="0" w:after="283"/>
              <w:jc w:val="both"/>
              <w:rPr/>
            </w:pPr>
            <w:r>
              <w:rPr/>
              <w:t xml:space="preserve">  </w:t>
            </w:r>
          </w:p>
        </w:tc>
        <w:tc>
          <w:tcPr>
            <w:tcW w:w="194" w:type="dxa"/>
            <w:tcBorders/>
            <w:vAlign w:val="center"/>
          </w:tcPr>
          <w:p>
            <w:pPr>
              <w:pStyle w:val="TableContents"/>
              <w:bidi w:val="0"/>
              <w:spacing w:before="0" w:after="283"/>
              <w:jc w:val="both"/>
              <w:rPr/>
            </w:pPr>
            <w:r>
              <w:rPr/>
              <w:t xml:space="preserve">a) </w:t>
            </w:r>
          </w:p>
        </w:tc>
        <w:tc>
          <w:tcPr>
            <w:tcW w:w="9909" w:type="dxa"/>
            <w:tcBorders/>
            <w:vAlign w:val="center"/>
          </w:tcPr>
          <w:p>
            <w:pPr>
              <w:pStyle w:val="TableContents"/>
              <w:bidi w:val="0"/>
              <w:spacing w:before="0" w:after="283"/>
              <w:jc w:val="both"/>
              <w:rPr/>
            </w:pPr>
            <w:r>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tc>
      </w:tr>
    </w:tbl>
    <w:p>
      <w:pPr>
        <w:pStyle w:val="TextBody"/>
        <w:bidi w:val="0"/>
        <w:spacing w:before="0" w:after="0"/>
        <w:ind w:left="14" w:right="14"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5"/>
        <w:gridCol w:w="225"/>
        <w:gridCol w:w="9865"/>
      </w:tblGrid>
      <w:tr>
        <w:trPr/>
        <w:tc>
          <w:tcPr>
            <w:tcW w:w="115" w:type="dxa"/>
            <w:tcBorders/>
            <w:vAlign w:val="center"/>
          </w:tcPr>
          <w:p>
            <w:pPr>
              <w:pStyle w:val="TableContents"/>
              <w:bidi w:val="0"/>
              <w:spacing w:before="0" w:after="283"/>
              <w:jc w:val="both"/>
              <w:rPr/>
            </w:pPr>
            <w:r>
              <w:rPr/>
              <w:t xml:space="preserve">  </w:t>
            </w:r>
          </w:p>
        </w:tc>
        <w:tc>
          <w:tcPr>
            <w:tcW w:w="225" w:type="dxa"/>
            <w:tcBorders/>
            <w:vAlign w:val="center"/>
          </w:tcPr>
          <w:p>
            <w:pPr>
              <w:pStyle w:val="TableContents"/>
              <w:bidi w:val="0"/>
              <w:spacing w:before="0" w:after="283"/>
              <w:jc w:val="both"/>
              <w:rPr/>
            </w:pPr>
            <w:r>
              <w:rPr/>
              <w:t xml:space="preserve">b) </w:t>
            </w:r>
          </w:p>
        </w:tc>
        <w:tc>
          <w:tcPr>
            <w:tcW w:w="9865" w:type="dxa"/>
            <w:tcBorders/>
            <w:vAlign w:val="center"/>
          </w:tcPr>
          <w:p>
            <w:pPr>
              <w:pStyle w:val="TableContents"/>
              <w:bidi w:val="0"/>
              <w:spacing w:before="0" w:after="283"/>
              <w:jc w:val="both"/>
              <w:rPr/>
            </w:pPr>
            <w:r>
              <w:rPr/>
              <w:t xml:space="preserve">Any fraud, whether or not material, that involves management or other employees who have a significant role in the registrant’s internal control over financial reporting. </w:t>
            </w:r>
          </w:p>
        </w:tc>
      </w:tr>
    </w:tbl>
    <w:p>
      <w:pPr>
        <w:pStyle w:val="TextBody"/>
        <w:bidi w:val="0"/>
        <w:spacing w:before="0" w:after="0"/>
        <w:ind w:left="14" w:right="14" w:hanging="0"/>
        <w:jc w:val="left"/>
        <w:rPr>
          <w:caps w:val="false"/>
          <w:smallCaps w:val="false"/>
        </w:rPr>
      </w:pPr>
      <w:r>
        <w:rPr>
          <w:caps w:val="false"/>
          <w:smallCaps w:val="false"/>
        </w:rPr>
        <w:t> </w:t>
      </w:r>
    </w:p>
    <w:tbl>
      <w:tblPr>
        <w:tblW w:w="4960" w:type="dxa"/>
        <w:jc w:val="left"/>
        <w:tblInd w:w="0" w:type="dxa"/>
        <w:tblLayout w:type="fixed"/>
        <w:tblCellMar>
          <w:top w:w="0" w:type="dxa"/>
          <w:left w:w="0" w:type="dxa"/>
          <w:bottom w:w="0" w:type="dxa"/>
          <w:right w:w="0" w:type="dxa"/>
        </w:tblCellMar>
      </w:tblPr>
      <w:tblGrid>
        <w:gridCol w:w="2195"/>
        <w:gridCol w:w="2765"/>
      </w:tblGrid>
      <w:tr>
        <w:trPr/>
        <w:tc>
          <w:tcPr>
            <w:tcW w:w="2195" w:type="dxa"/>
            <w:tcBorders/>
            <w:vAlign w:val="center"/>
          </w:tcPr>
          <w:p>
            <w:pPr>
              <w:pStyle w:val="TableContents"/>
              <w:bidi w:val="0"/>
              <w:spacing w:before="0" w:after="283"/>
              <w:jc w:val="left"/>
              <w:rPr/>
            </w:pPr>
            <w:r>
              <w:rPr/>
              <w:t>Date: August 11, 2026</w:t>
            </w:r>
          </w:p>
        </w:tc>
        <w:tc>
          <w:tcPr>
            <w:tcW w:w="2765" w:type="dxa"/>
            <w:tcBorders>
              <w:bottom w:val="single" w:sz="12" w:space="0" w:color="000000"/>
            </w:tcBorders>
            <w:tcMar>
              <w:bottom w:w="28" w:type="dxa"/>
            </w:tcMar>
            <w:vAlign w:val="center"/>
          </w:tcPr>
          <w:p>
            <w:pPr>
              <w:pStyle w:val="TableContents"/>
              <w:bidi w:val="0"/>
              <w:spacing w:before="0" w:after="283"/>
              <w:jc w:val="left"/>
              <w:rPr/>
            </w:pPr>
            <w:r>
              <w:rPr/>
              <w:t>/s/ Patrick Fabbio</w:t>
            </w:r>
          </w:p>
        </w:tc>
      </w:tr>
      <w:tr>
        <w:trPr/>
        <w:tc>
          <w:tcPr>
            <w:tcW w:w="2195" w:type="dxa"/>
            <w:tcBorders/>
            <w:vAlign w:val="center"/>
          </w:tcPr>
          <w:p>
            <w:pPr>
              <w:pStyle w:val="TableContents"/>
              <w:bidi w:val="0"/>
              <w:spacing w:before="0" w:after="283"/>
              <w:jc w:val="left"/>
              <w:rPr/>
            </w:pPr>
            <w:r>
              <w:rPr/>
              <w:t xml:space="preserve">  </w:t>
            </w:r>
          </w:p>
        </w:tc>
        <w:tc>
          <w:tcPr>
            <w:tcW w:w="2765" w:type="dxa"/>
            <w:tcBorders/>
            <w:vAlign w:val="center"/>
          </w:tcPr>
          <w:p>
            <w:pPr>
              <w:pStyle w:val="TableContents"/>
              <w:bidi w:val="0"/>
              <w:spacing w:before="0" w:after="283"/>
              <w:jc w:val="left"/>
              <w:rPr/>
            </w:pPr>
            <w:r>
              <w:rPr/>
              <w:t>Patrick Fabbio</w:t>
              <w:br/>
              <w:t>Chief Financial Officer</w:t>
            </w:r>
          </w:p>
        </w:tc>
      </w:tr>
      <w:tr>
        <w:trPr/>
        <w:tc>
          <w:tcPr>
            <w:tcW w:w="2195" w:type="dxa"/>
            <w:tcBorders/>
            <w:vAlign w:val="center"/>
          </w:tcPr>
          <w:p>
            <w:pPr>
              <w:pStyle w:val="TableContents"/>
              <w:bidi w:val="0"/>
              <w:spacing w:before="0" w:after="283"/>
              <w:jc w:val="left"/>
              <w:rPr/>
            </w:pPr>
            <w:r>
              <w:rPr/>
              <w:t> </w:t>
            </w:r>
          </w:p>
        </w:tc>
        <w:tc>
          <w:tcPr>
            <w:tcW w:w="2765" w:type="dxa"/>
            <w:tcBorders/>
            <w:vAlign w:val="center"/>
          </w:tcPr>
          <w:p>
            <w:pPr>
              <w:pStyle w:val="TableContents"/>
              <w:bidi w:val="0"/>
              <w:spacing w:before="0" w:after="283"/>
              <w:jc w:val="left"/>
              <w:rPr/>
            </w:pPr>
            <w:r>
              <w:rPr/>
              <w:t>(</w:t>
            </w:r>
            <w:r>
              <w:rPr>
                <w:i/>
              </w:rPr>
              <w:t>Principal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2" w:name="ea029860001ex32-1.htm"/>
      <w:bookmarkStart w:id="33" w:name="ksea029860001ex321"/>
      <w:bookmarkEnd w:id="32"/>
      <w:bookmarkEnd w:id="33"/>
      <w:r>
        <w:rPr>
          <w:rFonts w:ascii="Times New Roman;Times;Serif" w:hAnsi="Times New Roman;Times;Serif"/>
          <w:b/>
          <w:i w:val="false"/>
          <w:caps w:val="false"/>
          <w:smallCaps w:val="false"/>
          <w:sz w:val="20"/>
        </w:rPr>
        <w:t>Exhibit 32.1</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CERTIFICATION PURSUANT TO SECTION 1350, AS ADOPTED PURSUANT TO</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906 OF THE SARBANES-OXLEY ACT OF 2002</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of Protara Therapeutics, Inc. (the “Corporation”) on Form 10-Q for the fiscal quarter ended June 30, 2026, as filed with the Securities and Exchange Commission on the date hereof (the “Report”), I, Jesse Shefferman, as Chief Executive Officer of the Corporation, and I, Patrick Fabbio, as Chief Financial Officer of the Corporation, certify, pursuant to 18 U.S.C. Section 1350, as adopted pursuant to Section 906 of the Sarbanes-Oxley Act of 2002, that to my knowledge: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06"/>
        <w:gridCol w:w="9824"/>
      </w:tblGrid>
      <w:tr>
        <w:trPr/>
        <w:tc>
          <w:tcPr>
            <w:tcW w:w="75" w:type="dxa"/>
            <w:tcBorders/>
            <w:vAlign w:val="center"/>
          </w:tcPr>
          <w:p>
            <w:pPr>
              <w:pStyle w:val="TableContents"/>
              <w:bidi w:val="0"/>
              <w:spacing w:before="0" w:after="283"/>
              <w:jc w:val="left"/>
              <w:rPr/>
            </w:pPr>
            <w:r>
              <w:rPr/>
              <w:t> </w:t>
            </w:r>
          </w:p>
        </w:tc>
        <w:tc>
          <w:tcPr>
            <w:tcW w:w="306" w:type="dxa"/>
            <w:tcBorders/>
            <w:vAlign w:val="center"/>
          </w:tcPr>
          <w:p>
            <w:pPr>
              <w:pStyle w:val="TableContents"/>
              <w:bidi w:val="0"/>
              <w:spacing w:before="0" w:after="283"/>
              <w:jc w:val="left"/>
              <w:rPr/>
            </w:pPr>
            <w:r>
              <w:rPr/>
              <w:t xml:space="preserve">(1) </w:t>
            </w:r>
          </w:p>
        </w:tc>
        <w:tc>
          <w:tcPr>
            <w:tcW w:w="9824" w:type="dxa"/>
            <w:tcBorders/>
            <w:vAlign w:val="center"/>
          </w:tcPr>
          <w:p>
            <w:pPr>
              <w:pStyle w:val="TableContents"/>
              <w:bidi w:val="0"/>
              <w:spacing w:before="0" w:after="283"/>
              <w:jc w:val="both"/>
              <w:rPr/>
            </w:pPr>
            <w:r>
              <w:rPr/>
              <w:t xml:space="preserve">The Report fully complies with the requirements of Section 13(a) or 15(d) of the Securities Exchange Act of 1934; and </w:t>
            </w:r>
          </w:p>
        </w:tc>
      </w:tr>
      <w:tr>
        <w:trPr/>
        <w:tc>
          <w:tcPr>
            <w:tcW w:w="75" w:type="dxa"/>
            <w:tcBorders/>
            <w:vAlign w:val="center"/>
          </w:tcPr>
          <w:p>
            <w:pPr>
              <w:pStyle w:val="TableContents"/>
              <w:bidi w:val="0"/>
              <w:spacing w:before="0" w:after="283"/>
              <w:jc w:val="left"/>
              <w:rPr/>
            </w:pPr>
            <w:r>
              <w:rPr/>
              <w:t> </w:t>
            </w:r>
          </w:p>
        </w:tc>
        <w:tc>
          <w:tcPr>
            <w:tcW w:w="306" w:type="dxa"/>
            <w:tcBorders/>
            <w:vAlign w:val="center"/>
          </w:tcPr>
          <w:p>
            <w:pPr>
              <w:pStyle w:val="TableContents"/>
              <w:bidi w:val="0"/>
              <w:spacing w:before="0" w:after="283"/>
              <w:jc w:val="both"/>
              <w:rPr/>
            </w:pPr>
            <w:r>
              <w:rPr/>
              <w:t xml:space="preserve">  </w:t>
            </w:r>
          </w:p>
        </w:tc>
        <w:tc>
          <w:tcPr>
            <w:tcW w:w="9824" w:type="dxa"/>
            <w:tcBorders/>
            <w:vAlign w:val="center"/>
          </w:tcPr>
          <w:p>
            <w:pPr>
              <w:pStyle w:val="TableContents"/>
              <w:bidi w:val="0"/>
              <w:spacing w:before="0" w:after="283"/>
              <w:jc w:val="both"/>
              <w:rPr/>
            </w:pPr>
            <w:r>
              <w:rPr/>
              <w:t xml:space="preserve">  </w:t>
            </w:r>
          </w:p>
        </w:tc>
      </w:tr>
      <w:tr>
        <w:trPr/>
        <w:tc>
          <w:tcPr>
            <w:tcW w:w="75" w:type="dxa"/>
            <w:tcBorders/>
            <w:vAlign w:val="center"/>
          </w:tcPr>
          <w:p>
            <w:pPr>
              <w:pStyle w:val="TableContents"/>
              <w:bidi w:val="0"/>
              <w:spacing w:before="0" w:after="283"/>
              <w:jc w:val="left"/>
              <w:rPr/>
            </w:pPr>
            <w:r>
              <w:rPr/>
              <w:t> </w:t>
            </w:r>
          </w:p>
        </w:tc>
        <w:tc>
          <w:tcPr>
            <w:tcW w:w="306" w:type="dxa"/>
            <w:tcBorders/>
            <w:vAlign w:val="center"/>
          </w:tcPr>
          <w:p>
            <w:pPr>
              <w:pStyle w:val="TableContents"/>
              <w:bidi w:val="0"/>
              <w:spacing w:before="0" w:after="283"/>
              <w:jc w:val="both"/>
              <w:rPr/>
            </w:pPr>
            <w:r>
              <w:rPr/>
              <w:t xml:space="preserve">(2) </w:t>
            </w:r>
          </w:p>
        </w:tc>
        <w:tc>
          <w:tcPr>
            <w:tcW w:w="9824" w:type="dxa"/>
            <w:tcBorders/>
            <w:vAlign w:val="center"/>
          </w:tcPr>
          <w:p>
            <w:pPr>
              <w:pStyle w:val="TableContents"/>
              <w:bidi w:val="0"/>
              <w:spacing w:before="0" w:after="283"/>
              <w:jc w:val="both"/>
              <w:rPr/>
            </w:pPr>
            <w:r>
              <w:rPr/>
              <w:t xml:space="preserve">The information contained in the Report fairly presents, in all material respects, the financial condition and results of operations of the Corporation. </w:t>
            </w:r>
          </w:p>
        </w:tc>
      </w:tr>
    </w:tbl>
    <w:p>
      <w:pPr>
        <w:pStyle w:val="TextBody"/>
        <w:bidi w:val="0"/>
        <w:spacing w:before="0" w:after="0"/>
        <w:ind w:left="0" w:right="0" w:hanging="0"/>
        <w:jc w:val="both"/>
        <w:rPr>
          <w:caps w:val="false"/>
          <w:smallCaps w:val="false"/>
        </w:rPr>
      </w:pPr>
      <w:r>
        <w:rPr>
          <w:caps w:val="false"/>
          <w:smallCaps w:val="false"/>
        </w:rPr>
        <w:t> </w:t>
      </w:r>
    </w:p>
    <w:tbl>
      <w:tblPr>
        <w:tblW w:w="5385" w:type="dxa"/>
        <w:jc w:val="left"/>
        <w:tblInd w:w="0" w:type="dxa"/>
        <w:tblLayout w:type="fixed"/>
        <w:tblCellMar>
          <w:top w:w="0" w:type="dxa"/>
          <w:left w:w="0" w:type="dxa"/>
          <w:bottom w:w="0" w:type="dxa"/>
          <w:right w:w="0" w:type="dxa"/>
        </w:tblCellMar>
      </w:tblPr>
      <w:tblGrid>
        <w:gridCol w:w="2195"/>
        <w:gridCol w:w="425"/>
        <w:gridCol w:w="2765"/>
      </w:tblGrid>
      <w:tr>
        <w:trPr/>
        <w:tc>
          <w:tcPr>
            <w:tcW w:w="2195" w:type="dxa"/>
            <w:tcBorders/>
            <w:vAlign w:val="center"/>
          </w:tcPr>
          <w:p>
            <w:pPr>
              <w:pStyle w:val="TableContents"/>
              <w:bidi w:val="0"/>
              <w:spacing w:before="0" w:after="283"/>
              <w:jc w:val="left"/>
              <w:rPr/>
            </w:pPr>
            <w:r>
              <w:rPr/>
              <w:t>Date: August 11, 2026</w:t>
            </w:r>
          </w:p>
        </w:tc>
        <w:tc>
          <w:tcPr>
            <w:tcW w:w="425" w:type="dxa"/>
            <w:tcBorders/>
            <w:vAlign w:val="center"/>
          </w:tcPr>
          <w:p>
            <w:pPr>
              <w:pStyle w:val="TableContents"/>
              <w:bidi w:val="0"/>
              <w:spacing w:before="0" w:after="283"/>
              <w:jc w:val="left"/>
              <w:rPr/>
            </w:pPr>
            <w:r>
              <w:rPr/>
              <w:t xml:space="preserve">By: </w:t>
            </w:r>
          </w:p>
        </w:tc>
        <w:tc>
          <w:tcPr>
            <w:tcW w:w="2765" w:type="dxa"/>
            <w:tcBorders>
              <w:bottom w:val="single" w:sz="12" w:space="0" w:color="000000"/>
            </w:tcBorders>
            <w:tcMar>
              <w:bottom w:w="28" w:type="dxa"/>
            </w:tcMar>
            <w:vAlign w:val="center"/>
          </w:tcPr>
          <w:p>
            <w:pPr>
              <w:pStyle w:val="TableContents"/>
              <w:bidi w:val="0"/>
              <w:spacing w:before="0" w:after="283"/>
              <w:jc w:val="left"/>
              <w:rPr/>
            </w:pPr>
            <w:r>
              <w:rPr/>
              <w:t>/s/ Jesse Shefferman</w:t>
            </w:r>
          </w:p>
        </w:tc>
      </w:tr>
      <w:tr>
        <w:trPr/>
        <w:tc>
          <w:tcPr>
            <w:tcW w:w="2195" w:type="dxa"/>
            <w:tcBorders/>
            <w:vAlign w:val="center"/>
          </w:tcPr>
          <w:p>
            <w:pPr>
              <w:pStyle w:val="TableContents"/>
              <w:bidi w:val="0"/>
              <w:spacing w:before="0" w:after="283"/>
              <w:jc w:val="left"/>
              <w:rPr/>
            </w:pPr>
            <w:r>
              <w:rPr/>
              <w:t xml:space="preserve">  </w:t>
            </w:r>
          </w:p>
        </w:tc>
        <w:tc>
          <w:tcPr>
            <w:tcW w:w="425" w:type="dxa"/>
            <w:tcBorders/>
            <w:vAlign w:val="center"/>
          </w:tcPr>
          <w:p>
            <w:pPr>
              <w:pStyle w:val="TableContents"/>
              <w:bidi w:val="0"/>
              <w:spacing w:before="0" w:after="283"/>
              <w:jc w:val="left"/>
              <w:rPr/>
            </w:pPr>
            <w:r>
              <w:rPr/>
              <w:t xml:space="preserve">  </w:t>
            </w:r>
          </w:p>
        </w:tc>
        <w:tc>
          <w:tcPr>
            <w:tcW w:w="2765" w:type="dxa"/>
            <w:tcBorders/>
            <w:vAlign w:val="center"/>
          </w:tcPr>
          <w:p>
            <w:pPr>
              <w:pStyle w:val="TableContents"/>
              <w:bidi w:val="0"/>
              <w:spacing w:before="0" w:after="283"/>
              <w:jc w:val="left"/>
              <w:rPr/>
            </w:pPr>
            <w:r>
              <w:rPr/>
              <w:t>Jesse Shefferman</w:t>
              <w:br/>
              <w:t>Chief Executive Officer</w:t>
            </w:r>
          </w:p>
        </w:tc>
      </w:tr>
      <w:tr>
        <w:trPr/>
        <w:tc>
          <w:tcPr>
            <w:tcW w:w="2195" w:type="dxa"/>
            <w:tcBorders/>
            <w:vAlign w:val="center"/>
          </w:tcPr>
          <w:p>
            <w:pPr>
              <w:pStyle w:val="TableContents"/>
              <w:bidi w:val="0"/>
              <w:spacing w:before="0" w:after="283"/>
              <w:jc w:val="left"/>
              <w:rPr/>
            </w:pPr>
            <w:r>
              <w:rPr/>
              <w:t xml:space="preserve">  </w:t>
            </w:r>
          </w:p>
        </w:tc>
        <w:tc>
          <w:tcPr>
            <w:tcW w:w="425" w:type="dxa"/>
            <w:tcBorders/>
            <w:vAlign w:val="center"/>
          </w:tcPr>
          <w:p>
            <w:pPr>
              <w:pStyle w:val="TableContents"/>
              <w:bidi w:val="0"/>
              <w:spacing w:before="0" w:after="283"/>
              <w:jc w:val="left"/>
              <w:rPr/>
            </w:pPr>
            <w:r>
              <w:rPr/>
              <w:t xml:space="preserve">  </w:t>
            </w:r>
          </w:p>
        </w:tc>
        <w:tc>
          <w:tcPr>
            <w:tcW w:w="2765" w:type="dxa"/>
            <w:tcBorders/>
            <w:vAlign w:val="center"/>
          </w:tcPr>
          <w:p>
            <w:pPr>
              <w:pStyle w:val="TableContents"/>
              <w:bidi w:val="0"/>
              <w:spacing w:before="0" w:after="283"/>
              <w:jc w:val="left"/>
              <w:rPr>
                <w:i/>
              </w:rPr>
            </w:pPr>
            <w:r>
              <w:rPr>
                <w:i/>
              </w:rPr>
              <w:t>(Principal Executive Officer)</w:t>
            </w:r>
          </w:p>
        </w:tc>
      </w:tr>
    </w:tbl>
    <w:p>
      <w:pPr>
        <w:pStyle w:val="TextBody"/>
        <w:bidi w:val="0"/>
        <w:spacing w:before="0" w:after="0"/>
        <w:ind w:left="0" w:right="0" w:hanging="0"/>
        <w:jc w:val="both"/>
        <w:rPr>
          <w:caps w:val="false"/>
          <w:smallCaps w:val="false"/>
        </w:rPr>
      </w:pPr>
      <w:r>
        <w:rPr>
          <w:caps w:val="false"/>
          <w:smallCaps w:val="false"/>
        </w:rPr>
        <w:t> </w:t>
      </w:r>
    </w:p>
    <w:tbl>
      <w:tblPr>
        <w:tblW w:w="5385" w:type="dxa"/>
        <w:jc w:val="left"/>
        <w:tblInd w:w="0" w:type="dxa"/>
        <w:tblLayout w:type="fixed"/>
        <w:tblCellMar>
          <w:top w:w="0" w:type="dxa"/>
          <w:left w:w="0" w:type="dxa"/>
          <w:bottom w:w="0" w:type="dxa"/>
          <w:right w:w="0" w:type="dxa"/>
        </w:tblCellMar>
      </w:tblPr>
      <w:tblGrid>
        <w:gridCol w:w="2195"/>
        <w:gridCol w:w="425"/>
        <w:gridCol w:w="2765"/>
      </w:tblGrid>
      <w:tr>
        <w:trPr/>
        <w:tc>
          <w:tcPr>
            <w:tcW w:w="2195" w:type="dxa"/>
            <w:tcBorders/>
            <w:vAlign w:val="center"/>
          </w:tcPr>
          <w:p>
            <w:pPr>
              <w:pStyle w:val="TableContents"/>
              <w:bidi w:val="0"/>
              <w:spacing w:before="0" w:after="283"/>
              <w:jc w:val="left"/>
              <w:rPr/>
            </w:pPr>
            <w:r>
              <w:rPr/>
              <w:t>Date: August 11, 2026</w:t>
            </w:r>
          </w:p>
        </w:tc>
        <w:tc>
          <w:tcPr>
            <w:tcW w:w="425" w:type="dxa"/>
            <w:tcBorders/>
            <w:vAlign w:val="center"/>
          </w:tcPr>
          <w:p>
            <w:pPr>
              <w:pStyle w:val="TableContents"/>
              <w:bidi w:val="0"/>
              <w:spacing w:before="0" w:after="283"/>
              <w:jc w:val="left"/>
              <w:rPr/>
            </w:pPr>
            <w:r>
              <w:rPr/>
              <w:t xml:space="preserve">By: </w:t>
            </w:r>
          </w:p>
        </w:tc>
        <w:tc>
          <w:tcPr>
            <w:tcW w:w="2765" w:type="dxa"/>
            <w:tcBorders>
              <w:bottom w:val="single" w:sz="12" w:space="0" w:color="000000"/>
            </w:tcBorders>
            <w:tcMar>
              <w:bottom w:w="28" w:type="dxa"/>
            </w:tcMar>
            <w:vAlign w:val="center"/>
          </w:tcPr>
          <w:p>
            <w:pPr>
              <w:pStyle w:val="TableContents"/>
              <w:bidi w:val="0"/>
              <w:spacing w:before="0" w:after="283"/>
              <w:jc w:val="left"/>
              <w:rPr/>
            </w:pPr>
            <w:r>
              <w:rPr/>
              <w:t>/s/ Patrick Fabbio</w:t>
            </w:r>
          </w:p>
        </w:tc>
      </w:tr>
      <w:tr>
        <w:trPr/>
        <w:tc>
          <w:tcPr>
            <w:tcW w:w="2195" w:type="dxa"/>
            <w:tcBorders/>
            <w:vAlign w:val="center"/>
          </w:tcPr>
          <w:p>
            <w:pPr>
              <w:pStyle w:val="TableContents"/>
              <w:bidi w:val="0"/>
              <w:spacing w:before="0" w:after="283"/>
              <w:jc w:val="left"/>
              <w:rPr/>
            </w:pPr>
            <w:r>
              <w:rPr/>
              <w:t xml:space="preserve">  </w:t>
            </w:r>
          </w:p>
        </w:tc>
        <w:tc>
          <w:tcPr>
            <w:tcW w:w="425" w:type="dxa"/>
            <w:tcBorders/>
            <w:vAlign w:val="center"/>
          </w:tcPr>
          <w:p>
            <w:pPr>
              <w:pStyle w:val="TableContents"/>
              <w:bidi w:val="0"/>
              <w:spacing w:before="0" w:after="283"/>
              <w:jc w:val="left"/>
              <w:rPr/>
            </w:pPr>
            <w:r>
              <w:rPr/>
              <w:t xml:space="preserve">  </w:t>
            </w:r>
          </w:p>
        </w:tc>
        <w:tc>
          <w:tcPr>
            <w:tcW w:w="2765" w:type="dxa"/>
            <w:tcBorders/>
            <w:vAlign w:val="center"/>
          </w:tcPr>
          <w:p>
            <w:pPr>
              <w:pStyle w:val="TableContents"/>
              <w:bidi w:val="0"/>
              <w:spacing w:before="0" w:after="283"/>
              <w:jc w:val="left"/>
              <w:rPr/>
            </w:pPr>
            <w:r>
              <w:rPr/>
              <w:t>Patrick Fabbio</w:t>
              <w:br/>
              <w:t>Chief Financial Officer</w:t>
            </w:r>
          </w:p>
        </w:tc>
      </w:tr>
      <w:tr>
        <w:trPr/>
        <w:tc>
          <w:tcPr>
            <w:tcW w:w="2195" w:type="dxa"/>
            <w:tcBorders/>
            <w:vAlign w:val="center"/>
          </w:tcPr>
          <w:p>
            <w:pPr>
              <w:pStyle w:val="TableContents"/>
              <w:bidi w:val="0"/>
              <w:spacing w:before="0" w:after="283"/>
              <w:jc w:val="left"/>
              <w:rPr/>
            </w:pPr>
            <w:r>
              <w:rPr/>
              <w:t xml:space="preserve">  </w:t>
            </w:r>
          </w:p>
        </w:tc>
        <w:tc>
          <w:tcPr>
            <w:tcW w:w="425" w:type="dxa"/>
            <w:tcBorders/>
            <w:vAlign w:val="center"/>
          </w:tcPr>
          <w:p>
            <w:pPr>
              <w:pStyle w:val="TableContents"/>
              <w:bidi w:val="0"/>
              <w:spacing w:before="0" w:after="283"/>
              <w:jc w:val="left"/>
              <w:rPr/>
            </w:pPr>
            <w:r>
              <w:rPr/>
              <w:t xml:space="preserve">  </w:t>
            </w:r>
          </w:p>
        </w:tc>
        <w:tc>
          <w:tcPr>
            <w:tcW w:w="2765" w:type="dxa"/>
            <w:tcBorders/>
            <w:vAlign w:val="center"/>
          </w:tcPr>
          <w:p>
            <w:pPr>
              <w:pStyle w:val="TableContents"/>
              <w:bidi w:val="0"/>
              <w:spacing w:before="0" w:after="283"/>
              <w:jc w:val="left"/>
              <w:rPr>
                <w:i/>
              </w:rPr>
            </w:pPr>
            <w:r>
              <w:rPr>
                <w:i/>
              </w:rPr>
              <w:t>(Principal Financial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signed original of this written statement required by Section 906 has been provided to the Corporation and will be retained by the Corporation and furnished to the Securities and Exchange Commission or its staff upon request.  This certification shall not be deemed “filed” for purposes of Section 18 of the Exchange Act or otherwise subject to the liability of Section 18 of the Exchange Act. Such certification shall not be deemed to be incorporated by reference into any filing under the Securities Act of 1933, as amended, or the Exchange Act, except to the extent that the Corporation specifically incorporates it by reference.</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359931/000110465914074038/a14-15225_12ex3d1.htm" TargetMode="External"/><Relationship Id="rId3" Type="http://schemas.openxmlformats.org/officeDocument/2006/relationships/hyperlink" Target="http://www.sec.gov/Archives/edgar/data/1359931/000110465920003115/tm201618d1_ex3-1.htm" TargetMode="External"/><Relationship Id="rId4" Type="http://schemas.openxmlformats.org/officeDocument/2006/relationships/hyperlink" Target="http://www.sec.gov/Archives/edgar/data/1359931/000121390020011893/f10q0320ex3-3_artara.htm" TargetMode="External"/><Relationship Id="rId5" Type="http://schemas.openxmlformats.org/officeDocument/2006/relationships/hyperlink" Target="http://www.sec.gov/Archives/edgar/data/1359931/000110465920003115/tm201618d1_ex3-2.htm" TargetMode="External"/><Relationship Id="rId6" Type="http://schemas.openxmlformats.org/officeDocument/2006/relationships/hyperlink" Target="http://www.sec.gov/Archives/edgar/data/1359931/000121390020027951/ea127215ex3-1_protara.htm" TargetMode="External"/><Relationship Id="rId7" Type="http://schemas.openxmlformats.org/officeDocument/2006/relationships/hyperlink" Target="http://www.sec.gov/Archives/edgar/data/1359931/000117184317004634/exh_32.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23034</Words>
  <Characters>123877</Characters>
  <CharactersWithSpaces>148997</CharactersWithSpaces>
  <Paragraphs>6741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