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299599-s8_protara.htm"/>
      <w:bookmarkStart w:id="1" w:name="ksea0299599s8_protara"/>
      <w:bookmarkEnd w:id="0"/>
      <w:bookmarkEnd w:id="1"/>
      <w:r>
        <w:rPr>
          <w:b/>
        </w:rPr>
        <w:t>As filed with the Securities and Exchange Commission on August 11,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20-4580525</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 South, Third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 as amended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Jesse Shefferman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 South, Third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844-0337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3095"/>
        <w:gridCol w:w="60"/>
        <w:gridCol w:w="2315"/>
      </w:tblGrid>
      <w:tr>
        <w:trPr/>
        <w:tc>
          <w:tcPr>
            <w:tcW w:w="30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Mary J. Grendell, Esq.</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Jennifer L. Lee P.C.</w:t>
            </w:r>
          </w:p>
        </w:tc>
      </w:tr>
      <w:tr>
        <w:trPr/>
        <w:tc>
          <w:tcPr>
            <w:tcW w:w="30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Chief Legal and Compliance Officer</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Kirkland &amp; Ellis LLP</w:t>
            </w:r>
          </w:p>
        </w:tc>
      </w:tr>
      <w:tr>
        <w:trPr/>
        <w:tc>
          <w:tcPr>
            <w:tcW w:w="30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Protara Therapeutics, Inc.</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 Lexington Avenue</w:t>
            </w:r>
          </w:p>
        </w:tc>
      </w:tr>
      <w:tr>
        <w:trPr/>
        <w:tc>
          <w:tcPr>
            <w:tcW w:w="30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345 Park Avenue South, Third Floor</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 New York 10022</w:t>
            </w:r>
          </w:p>
        </w:tc>
      </w:tr>
      <w:tr>
        <w:trPr/>
        <w:tc>
          <w:tcPr>
            <w:tcW w:w="30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 New York 10010</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(212) 446-4800</w:t>
            </w:r>
          </w:p>
        </w:tc>
      </w:tr>
      <w:tr>
        <w:trPr/>
        <w:tc>
          <w:tcPr>
            <w:tcW w:w="30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(646) 844-0337</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Protara Therapeutics, Inc. (the “Registrant”) is filing this Registration Statement on Form S-8 (the “Registration Statement”) for the purpose of registering an additional 5,750,000 shares of common stock (the “Common Stock”) under the Registrant’s 2024 Equity Incentive Plan, (the “2024 EIP”), including 750,000 shares of Common Stock that may again become available for delivery with respects to awards under the 2024 EIP pursuant to the share counting and share recycling terms of the 2024 EIP, pursuant to an amendment to the 2024 EIP adopted by the Registrant’s Board of Directors on April 8, 2026 and approved by the stockholders of the Registrant at the Annual Meeting held on June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This Registration Statement is being filed for the purpose of increasing the number of securities of the same class as other securities for which a Registration Statement of the Registrant on Form S-8 relating to the same employee benefit plan is effective. The Registrant previously registered shares of its Common Stock for issuance under the 2024 EIP under Registration Statements on Form S-8 filed with the Securities and Exchange Commission (the “SEC”) on August 6, 2024 (File No. </w:t>
      </w:r>
      <w:hyperlink r:id="rId2">
        <w:r>
          <w:rPr>
            <w:rStyle w:val="InternetLink"/>
            <w:rFonts w:ascii="Times New Roman;Times;Serif" w:hAnsi="Times New Roman;Times;Serif"/>
            <w:b w:val="false"/>
            <w:i w:val="false"/>
            <w:caps w:val="false"/>
            <w:smallCaps w:val="false"/>
            <w:sz w:val="20"/>
          </w:rPr>
          <w:t>333-281286</w:t>
        </w:r>
      </w:hyperlink>
      <w:r>
        <w:rPr>
          <w:rFonts w:ascii="Times New Roman;Times;Serif" w:hAnsi="Times New Roman;Times;Serif"/>
          <w:b w:val="false"/>
          <w:i w:val="false"/>
          <w:caps w:val="false"/>
          <w:smallCaps w:val="false"/>
          <w:sz w:val="20"/>
        </w:rPr>
        <w:t xml:space="preserve">) and August 11, 2025 (File No. </w:t>
      </w:r>
      <w:hyperlink r:id="rId3">
        <w:r>
          <w:rPr>
            <w:rStyle w:val="InternetLink"/>
            <w:rFonts w:ascii="Times New Roman;Times;Serif" w:hAnsi="Times New Roman;Times;Serif"/>
            <w:b w:val="false"/>
            <w:i w:val="false"/>
            <w:caps w:val="false"/>
            <w:smallCaps w:val="false"/>
            <w:sz w:val="20"/>
          </w:rPr>
          <w:t>333-289494</w:t>
        </w:r>
      </w:hyperlink>
      <w:r>
        <w:rPr>
          <w:rFonts w:ascii="Times New Roman;Times;Serif" w:hAnsi="Times New Roman;Times;Serif"/>
          <w:b w:val="false"/>
          <w:i w:val="false"/>
          <w:caps w:val="false"/>
          <w:smallCaps w:val="false"/>
          <w:sz w:val="20"/>
        </w:rPr>
        <w:t>). Pursuant to General Instruction E to Form S-8, this Registration Statement hereby incorporates by reference the contents of the Registration Statements referenced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also incorporates by reference into this Registration Statement the following documents previously filed by the Registrant with the SEC (other than portions of Current Reports furnished under Item 2.02 or Item 7.01 of Form 8-K and exhibits related to such items or other portions of documents filed with the SEC which were furnished, but not filed, pursuant to applicable rules promulgated by the SEC):</w:t>
      </w:r>
    </w:p>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Annual Report on </w:t>
            </w:r>
            <w:hyperlink r:id="rId4">
              <w:r>
                <w:rPr>
                  <w:rStyle w:val="InternetLink"/>
                  <w:rFonts w:ascii="Times New Roman;Times;Serif" w:hAnsi="Times New Roman;Times;Serif"/>
                  <w:sz w:val="20"/>
                </w:rPr>
                <w:t>Form 10-K</w:t>
              </w:r>
            </w:hyperlink>
            <w:r>
              <w:rPr/>
              <w:t xml:space="preserve"> </w:t>
            </w:r>
            <w:r>
              <w:rPr>
                <w:rFonts w:ascii="Times New Roman;Times;Serif" w:hAnsi="Times New Roman;Times;Serif"/>
                <w:sz w:val="20"/>
              </w:rPr>
              <w:t>for the fiscal year ended December 31, 2025, filed with the SEC on March 10, 2026 (including those portions of our Proxy Statement for our 2026 Annual Meeting of Stockholders filed with the SEC on April 28, 2026 that are deemed to be incorporated by reference therein);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Quarterly Reports on Form 10-Q for the quarters ended March 31, 2026 and June 30, 2026 filed with the SEC on </w:t>
            </w:r>
            <w:hyperlink r:id="rId5">
              <w:r>
                <w:rPr>
                  <w:rStyle w:val="InternetLink"/>
                  <w:rFonts w:ascii="Times New Roman;Times;Serif" w:hAnsi="Times New Roman;Times;Serif"/>
                  <w:sz w:val="20"/>
                </w:rPr>
                <w:t>May 13, 2026</w:t>
              </w:r>
            </w:hyperlink>
            <w:r>
              <w:rPr/>
              <w:t xml:space="preserve"> </w:t>
            </w:r>
            <w:r>
              <w:rPr>
                <w:rFonts w:ascii="Times New Roman;Times;Serif" w:hAnsi="Times New Roman;Times;Serif"/>
                <w:sz w:val="20"/>
              </w:rPr>
              <w:t xml:space="preserve">and </w:t>
            </w:r>
            <w:hyperlink r:id="rId6">
              <w:r>
                <w:rPr>
                  <w:rStyle w:val="InternetLink"/>
                  <w:rFonts w:ascii="Times New Roman;Times;Serif" w:hAnsi="Times New Roman;Times;Serif"/>
                  <w:sz w:val="20"/>
                </w:rPr>
                <w:t>August 11, 2026</w:t>
              </w:r>
            </w:hyperlink>
            <w:r>
              <w:rPr>
                <w:rFonts w:ascii="Times New Roman;Times;Serif" w:hAnsi="Times New Roman;Times;Serif"/>
                <w:sz w:val="20"/>
              </w:rPr>
              <w:t>, respectively;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8-K filed on </w:t>
            </w:r>
            <w:hyperlink r:id="rId7">
              <w:r>
                <w:rPr>
                  <w:rStyle w:val="InternetLink"/>
                  <w:rFonts w:ascii="Times New Roman;Times;Serif" w:hAnsi="Times New Roman;Times;Serif"/>
                  <w:sz w:val="20"/>
                </w:rPr>
                <w:t>February 24, 2026</w:t>
              </w:r>
            </w:hyperlink>
            <w:r>
              <w:rPr/>
              <w:t xml:space="preserve"> </w:t>
            </w:r>
            <w:r>
              <w:rPr>
                <w:rFonts w:ascii="Times New Roman;Times;Serif" w:hAnsi="Times New Roman;Times;Serif"/>
                <w:sz w:val="20"/>
              </w:rPr>
              <w:t xml:space="preserve">(only with respect to the items “filed” and not “furnished”), </w:t>
            </w:r>
            <w:hyperlink r:id="rId8">
              <w:r>
                <w:rPr>
                  <w:rStyle w:val="InternetLink"/>
                  <w:rFonts w:ascii="Times New Roman;Times;Serif" w:hAnsi="Times New Roman;Times;Serif"/>
                  <w:sz w:val="20"/>
                </w:rPr>
                <w:t>June 15,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June 29, 2026</w:t>
              </w:r>
            </w:hyperlink>
            <w:r>
              <w:rPr>
                <w:rFonts w:ascii="Times New Roman;Times;Serif" w:hAnsi="Times New Roman;Times;Serif"/>
                <w:sz w:val="20"/>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Company’s common stock contained in the registration statement on </w:t>
            </w:r>
            <w:hyperlink r:id="rId10">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filed with the SEC on October 16, 2014, including any amendments or reports filed for the purposes of updating this description.</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reports and other documents subsequently filed by the Registrant pursuant to Sections 13(a), 13(c), 14 and 15(d) of the Exchange Act, other than Current Reports furnished under Item 2.02 or Item 7.01 of Form 8-K and exhibits furnished on such form that relate to such items,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herein modifies or supersedes such statement. Any such statement so modified or superseded shall not constitute a part of this Registration Statement, except as so modified or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and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6. Indemnification of Directors and Officers.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and bylaws provide for indemnification of the Registrant’s directors and officers to the fullest extent permitted by law. Insofar as indemnification for liabilities under the Securities Act of 1933 may be permitted to directors, officers or controlling persons of the Registrant pursuant to the Registrant’s certificate of incorporation, bylaws and the Delaware General Corporation Law, or DGCL, the Registrant has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certificate of incorporation may include a provision that eliminates or limits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Company or its stockholders, (ii) a director or officer for acts or omissions not in good faith or that involve intentional misconduct or a knowing violation of law, (iii) a director under Section 174 of the DGCL (which provides for liability of directors for unlawful dividends or distributions or unlawful stock repurchases or redemptions), (iv) a director or officer for any transaction from which the director or officer derives an improper personal benefit or (v) an officer in any action by or in the right of the corporation. The Registrant’s certificate of incorporation includes such a provision. As a result of this provision, the Registrant and its stockholders may be unable to obtain monetary damages from a director or officer for breach of his or her duty of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DGCL, the Registrant has entered into indemnification agreements with each of its directors and executive officers that require the Registrant to indemnify such persons against any and all expenses (including attorneys’, witness or other professional fees), and unless in connection with a proceeding by or in the right of the Registrant, any and all judgments, fines and amounts paid in settlement, actually and reasonably incurred by such persons or on such persons’ behalf in connection with any proceeding, whether actual or threatened, to which any such person may be involved as a party or otherwise by reason of the fact that such person is or was a director or an executive officer of the Registrant or is or was serving at the request of the Registrant as a director, officer, employee, agent or fiduciary of another enterprise, provided such person acted in good faith and in a manner such person reasonably believed to be in or not opposed to the best interests of the Registrant and, with respect to any criminal proceeding, had no reasonable cause to believe such person’s conduct was unlawful. Under these agreements, the Registrant is not required to provide indemnification for certain matters,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indemnification beyond that permitted by applicable law;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in the indemnification agreements, an accounting of profits made from the purchase and sale (or sale and purchase) by such director or executive officer of securities of the Registrant within the meaning of Section 16(b) of the Securities Exchange Act of 1934 or similar provisions of state statutory law or common law;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in the indemnification agreements, any reimbursement of the Registrant by such director or executive officer of any bonus or other incentive-based or equity-based compensation or of any profits realized by such director or executive officer from the sale of securities of the Registrant, as required in each case under the Exchange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in the indemnification agreements, any reimbursement of the Registrant by such director or executive officer of any bonus or other incentive-based or equity-based compensation or of any profits realized by such director or executive officer from the sale of securities of the Registrant, as required in each case under the Exchange Act;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in the indemnification agreements, in connection with any proceeding initiated by such director or executive officer, unless (i) the Registrant’s board of directors authorized the proceeding prior to its initiation or (ii) the Registrant provides the indemnification, in its sole discretion, pursuant to the powers vested in the Registrant under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agreements also set forth certain procedures, presumptions and remedies that will apply in the event of a claim for indemnification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Sixth Amended and Restated Certificate of Incorporation (incorporated by reference to Exhibit 3.1 to the Registrant’s Current Report on Form 8-K, filed with the Commission on October 27, 2014).</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Certificate of Amendment to the Sixth Amended and Restated Certificate of Incorporation (incorporated by reference to Exhibit 3.1 to the Registrant’s Current Report on Form 8-K, filed with the Commission on January 10, 2020).</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Second Certificate of Amendment to the Sixth Amended and Restated Certificate of Incorporation (incorporated by reference to Exhibit 3.3 to the Registrant’s Quarterly Report on Form 10-Q, filed with the Commission on May 13, 2020).</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Third Certificate of Amendment to the Sixth Amended and Restated Certificate of Incorporation (incorporated by reference to Exhibit 3.4 to the Registrant’s Quarterly Report on Form 10-Q, filed with the Commission on August 11, 2026).</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Composite Amended and Restated Certificate of Incorporation of the Registrant (incorporated by reference to Exhibit 3.7 to the Registrant’s Quarterly Report on Form 10-Q, filed with the Commission on August 11, 2026).</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Second Amended and Restated Bylaws (incorporated by reference to Exhibit 3.2 to the Registrant’s Current Report on Form 8-K, filed with the Commission on August 3, 2017).</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Certificate of Designation of Preferences, Rights and Limitations of Series 1 Convertible Preferred Stock (incorporated by reference to Exhibit 3.2 to the Registrant’s Current Report on Form 8-K, filed with the Commission on January 10, 2020).</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Certificate of Amendment to the Certificate of Designation of Preferences, Rights and Limitations of Series 1 Convertible Non-Voting Preferred Stock (incorporated by reference to Exhibit 3.1 to the Registrant’s Current Report on Form 8-K, filed with the Commission on September 23, 2020).</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Registration Rights Agreement, dated as of September 23, 2019, by and among the Registrant and the institutional investors named therein (incorporated by reference to Exhibit 10.5 to the Registrant’s Current Report on Form 8-K, filed with the Commission on September 24, 2019).</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Registration Rights Agreement, dated April 5, 2024 (incorporated by reference to Exhibit 10.4 to the Registrant’s Current Report on Form 8-K, filed with the Commission on April 5, 2024).</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Form of Common Stock Certificate (incorporated by reference to Exhibit 4.1 to the Registrant’s Current Report on Form 8-K, filed with the Commission on January 10, 2020).</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959901ex5-1.htm">
              <w:r>
                <w:rPr>
                  <w:rStyle w:val="InternetLink"/>
                  <w:rFonts w:ascii="Times New Roman;Times;Serif" w:hAnsi="Times New Roman;Times;Serif"/>
                  <w:sz w:val="20"/>
                </w:rPr>
                <w:t>Opinion of Kirkland &amp; Ellis LLP.</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959901ex23-1.htm">
              <w:r>
                <w:rPr>
                  <w:rStyle w:val="InternetLink"/>
                  <w:rFonts w:ascii="Times New Roman;Times;Serif" w:hAnsi="Times New Roman;Times;Serif"/>
                  <w:sz w:val="20"/>
                </w:rPr>
                <w:t>Consent of Ernst &amp; Young LLP.</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959901ex5-1.htm">
              <w:r>
                <w:rPr>
                  <w:rStyle w:val="InternetLink"/>
                  <w:rFonts w:ascii="Times New Roman;Times;Serif" w:hAnsi="Times New Roman;Times;Serif"/>
                  <w:sz w:val="20"/>
                </w:rPr>
                <w:t>Consent of Kirkland &amp; Ellis LLP (included in Exhibit 5.1).</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2024 Equity Incentive Plan (incorporated by reference to Exhibit 99.1 to the Registrant’s Quarterly Report on Form 10-Q, filed with the Commission on August 6, 2024).</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2024 Equity Incentive Plan, as amended (incorporated by reference to Exhibit 10.3 to the Registrant’s Quarterly Report on Form 10-Q, filed with the Commission on August 11, 2025).</w:t>
              </w:r>
            </w:hyperlink>
            <w:r>
              <w:rPr/>
              <w:t> </w:t>
            </w:r>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Amendment No. 1 to the Company’s 2024 Equity Incentive Plan, as amended (incorporated by reference to Exhibit 10.1 to the Registrant’s Quarterly Report on Form 10-Q, filed with the Commission on August 11, 2026).</w:t>
              </w:r>
            </w:hyperlink>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9599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and (a)(1)(ii) of this section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August 11, 2026.</w:t>
      </w:r>
    </w:p>
    <w:p>
      <w:pPr>
        <w:pStyle w:val="TextBody"/>
        <w:bidi w:val="0"/>
        <w:spacing w:before="0" w:after="0"/>
        <w:ind w:left="0" w:right="0" w:firstLine="72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65"/>
        <w:gridCol w:w="3095"/>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PROTARA THERAPEUTICS,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Jesse Shefferman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Jesse Shefferman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Jesse Shefferman, Patrick Fabbio and Mary J. Grendell, as his or her true and lawful attorney-in-fact and agent, with full power of substitution and resubstitution, for him or her and in his or her name, place and stead, in any and all capacities, to sign any and all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firstLine="72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2135"/>
        <w:gridCol w:w="60"/>
        <w:gridCol w:w="4130"/>
        <w:gridCol w:w="60"/>
        <w:gridCol w:w="1385"/>
      </w:tblGrid>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41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Jesse Shefferman</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and Chief Executive Officer and 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Jesse Shefferman</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Patrick Fabbio</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Patrick Fabbio</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Officer)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Hannah Fry</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Vice President, Controller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Hannah Fry</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Accounting Officer)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Luke Beshar</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Luke Beshar</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Barry Flannelly</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Barry Flannelly, Pharm.D.</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Roger Garceau</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Roger Garceau, M.D.</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Jane Huang</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Jane Huang, M.D.</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Richard Levy</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Richard Levy, M.D.</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Gregory P. Sargen</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Gregory P. Sargen</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Cynthia Smith</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Cynthia Smith</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Solomon</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Solomon, Ph.D.</w:t>
            </w:r>
          </w:p>
        </w:tc>
        <w:tc>
          <w:tcPr>
            <w:tcW w:w="60" w:type="dxa"/>
            <w:tcBorders/>
            <w:tcMar>
              <w:bottom w:w="0" w:type="dxa"/>
            </w:tcMar>
            <w:vAlign w:val="center"/>
          </w:tcPr>
          <w:p>
            <w:pPr>
              <w:pStyle w:val="TableContents"/>
              <w:bidi w:val="0"/>
              <w:spacing w:before="0" w:after="283"/>
              <w:jc w:val="center"/>
              <w:rPr/>
            </w:pPr>
            <w:r>
              <w:rPr/>
              <w:t> </w:t>
            </w:r>
          </w:p>
        </w:tc>
        <w:tc>
          <w:tcPr>
            <w:tcW w:w="4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jc w:val="right"/>
        <w:rPr/>
      </w:pPr>
      <w:bookmarkStart w:id="3" w:name="ea029959901ex5-1.htm"/>
      <w:bookmarkStart w:id="4" w:name="ksea029959901ex51"/>
      <w:bookmarkEnd w:id="3"/>
      <w:bookmarkEnd w:id="4"/>
      <w:r>
        <w:rPr>
          <w:b/>
        </w:rPr>
        <w:t>Exhibit 5.1</w:t>
      </w:r>
      <w:r>
        <w:rPr/>
        <w:t xml:space="preserve"> </w:t>
      </w:r>
      <w:r>
        <w:br w:type="page"/>
      </w:r>
    </w:p>
    <w:p>
      <w:pPr>
        <w:pStyle w:val="TextBody"/>
        <w:bidi w:val="0"/>
        <w:spacing w:before="0" w:after="283"/>
        <w:jc w:val="left"/>
        <w:rPr/>
      </w:pPr>
      <w:r>
        <w:rPr/>
        <w:t> </w:t>
      </w:r>
    </w:p>
    <w:tbl>
      <w:tblPr>
        <w:tblW w:w="3770" w:type="dxa"/>
        <w:jc w:val="left"/>
        <w:tblInd w:w="0" w:type="dxa"/>
        <w:tblLayout w:type="fixed"/>
        <w:tblCellMar>
          <w:top w:w="0" w:type="dxa"/>
          <w:left w:w="0" w:type="dxa"/>
          <w:bottom w:w="0" w:type="dxa"/>
          <w:right w:w="0" w:type="dxa"/>
        </w:tblCellMar>
      </w:tblPr>
      <w:tblGrid>
        <w:gridCol w:w="108"/>
        <w:gridCol w:w="2232"/>
        <w:gridCol w:w="1430"/>
      </w:tblGrid>
      <w:tr>
        <w:trPr/>
        <w:tc>
          <w:tcPr>
            <w:tcW w:w="3770" w:type="dxa"/>
            <w:gridSpan w:val="3"/>
            <w:tcBorders/>
            <w:vAlign w:val="center"/>
          </w:tcPr>
          <w:p>
            <w:pPr>
              <w:pStyle w:val="TableContents"/>
              <w:bidi w:val="0"/>
              <w:spacing w:before="0" w:after="283"/>
              <w:jc w:val="center"/>
              <w:rPr/>
            </w:pPr>
            <w:r>
              <w:rPr/>
              <w:drawing>
                <wp:inline distT="0" distB="0" distL="0" distR="0">
                  <wp:extent cx="226695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2266950" cy="228600"/>
                          </a:xfrm>
                          <a:prstGeom prst="rect">
                            <a:avLst/>
                          </a:prstGeom>
                        </pic:spPr>
                      </pic:pic>
                    </a:graphicData>
                  </a:graphic>
                </wp:inline>
              </w:drawing>
            </w:r>
          </w:p>
        </w:tc>
      </w:tr>
      <w:tr>
        <w:trPr/>
        <w:tc>
          <w:tcPr>
            <w:tcW w:w="108"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2232"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+1 212 446 4800</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www.kirkland.com</w:t>
            </w:r>
          </w:p>
        </w:tc>
        <w:tc>
          <w:tcPr>
            <w:tcW w:w="1430" w:type="dxa"/>
            <w:tcBorders/>
            <w:vAlign w:val="center"/>
          </w:tcPr>
          <w:p>
            <w:pPr>
              <w:pStyle w:val="TableContents"/>
              <w:bidi w:val="0"/>
              <w:spacing w:before="0" w:after="283"/>
              <w:jc w:val="center"/>
              <w:rPr>
                <w:sz w:val="20"/>
              </w:rPr>
            </w:pPr>
            <w:r>
              <w:rPr>
                <w:sz w:val="20"/>
              </w:rPr>
              <w:t>Facsimile:</w:t>
              <w:br/>
              <w:t>+1 212 446 4900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Protara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 South, Third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special counsel to Protara Therapeutics, Inc., a Delaware corporation (the “Company”), in connection with the filing by the Company of a Registration Statement on Form S-8 (the “Registration Statement”) under the Securities Act of 1933, as amended (the “Act”), with the Securities and Exchange Commission (the “Commission”) relating to the registration of an additional 5,750,000 shares (the “Shares”) of common stock, par value $0.001 per share, of the Company (the “Common Stock”), that may be issued by the Company under the Company’s 2024 Equity Incentive Plan, as amended (as amended, the “2024 EIP”).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letter, we have examined such documents, records, certificates, resolutions and other instruments deemed necessary as a basis for this opinion, and we have assumed the authenticity of all documents submitted to us as originals, the conformity to the originals of all documents submitted to us as copies and the authenticity of the originals of all documents submitted to us as copies.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qualifications, assumptions and limitations and the further limitations set forth herein, we advise you that the Shares are duly authorized and when the Shares have been duly issued pursuant to and in accordance with the terms and conditions of the 2024 EIP and the Sixth Amended and Restated Certificate of Incorporation of the Company, as amended (as amended, the “Charter”), and the Second Amended and Restated Bylaws of the Company,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subject to the qualifications that we express no opinion as to the applicability of, compliance with, or effect of any laws except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without independent investigation upon, among other things, an assurance from the Company that the number of shares which the Company is authorized to issue in its Charter exceeds the number of shares outstanding and the number of shares which the Company is obligated to issue (or had otherwise reserved for issuance) for any purposes other than issuances of the Shares by at least the number of Shares and we have assumed that such condition will remain true at all future times relevant to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38325"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1838325" cy="152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Protara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In giving this consent, we do not thereby admit that we are in the category of persons whose consent is required under Section 7 of the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issuance and 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We assume no obligation to revise or supplement this opinion should the General Corporation Law of the State of Delaware be changed by legislative action, judicial decision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and is not to be used, circulated, quoted or otherwise relied upon for any other purposes.</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420"/>
      </w:tblGrid>
      <w:tr>
        <w:trPr/>
        <w:tc>
          <w:tcPr>
            <w:tcW w:w="75" w:type="dxa"/>
            <w:tcBorders/>
            <w:vAlign w:val="center"/>
          </w:tcPr>
          <w:p>
            <w:pPr>
              <w:pStyle w:val="TableContents"/>
              <w:bidi w:val="0"/>
              <w:spacing w:before="0" w:after="283"/>
              <w:jc w:val="left"/>
              <w:rPr/>
            </w:pPr>
            <w:r>
              <w:rPr/>
              <w:t> </w:t>
            </w:r>
          </w:p>
        </w:tc>
        <w:tc>
          <w:tcPr>
            <w:tcW w:w="242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KIRKLAND &amp; ELLIS LLP</w:t>
            </w:r>
          </w:p>
        </w:tc>
      </w:tr>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20"/>
              </w:rPr>
            </w:pPr>
            <w:r>
              <w:rPr>
                <w:sz w:val="20"/>
              </w:rPr>
              <w:t>KIRKLAND &amp; ELLIS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29959901ex23-1.htm"/>
      <w:bookmarkStart w:id="6" w:name="ksea0299599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2024 Equity Incentive Plan, as amended of Protara Therapeutics, Inc., of our report dated March 10, 2026, with respect to the consolidated financial statements of Protara Therapeutics, Inc. included in its Annual Report (Form 10-K) for the year ended December 31,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29959901ex-fee.htm"/>
      <w:bookmarkStart w:id="8" w:name="ksea0299599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Protara Therapeutics,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5"/>
        <w:gridCol w:w="60"/>
        <w:gridCol w:w="1206"/>
        <w:gridCol w:w="60"/>
        <w:gridCol w:w="575"/>
        <w:gridCol w:w="60"/>
        <w:gridCol w:w="1114"/>
        <w:gridCol w:w="60"/>
        <w:gridCol w:w="1055"/>
        <w:gridCol w:w="60"/>
        <w:gridCol w:w="255"/>
        <w:gridCol w:w="804"/>
        <w:gridCol w:w="60"/>
        <w:gridCol w:w="146"/>
        <w:gridCol w:w="1462"/>
        <w:gridCol w:w="60"/>
        <w:gridCol w:w="1040"/>
        <w:gridCol w:w="60"/>
        <w:gridCol w:w="169"/>
        <w:gridCol w:w="1064"/>
      </w:tblGrid>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35"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06"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left"/>
              <w:rPr/>
            </w:pPr>
            <w:r>
              <w:rPr/>
              <w:t>2024 Equity Incentive Plan, as Amended Common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5,750,000</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804" w:type="dxa"/>
            <w:tcBorders/>
            <w:vAlign w:val="center"/>
          </w:tcPr>
          <w:p>
            <w:pPr>
              <w:pStyle w:val="TableContents"/>
              <w:bidi w:val="0"/>
              <w:spacing w:before="0" w:after="283"/>
              <w:jc w:val="right"/>
              <w:rPr/>
            </w:pPr>
            <w:r>
              <w:rPr/>
              <w:t>4.09</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23,517,500.00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3,247.77</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14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44"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23,517,500.00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3,247.77</w:t>
            </w:r>
          </w:p>
        </w:tc>
      </w:tr>
      <w:tr>
        <w:trPr/>
        <w:tc>
          <w:tcPr>
            <w:tcW w:w="6144"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44"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double" w:sz="8" w:space="0" w:color="000000"/>
            </w:tcBorders>
            <w:tcMar>
              <w:bottom w:w="28" w:type="dxa"/>
            </w:tcMar>
            <w:vAlign w:val="center"/>
          </w:tcPr>
          <w:p>
            <w:pPr>
              <w:pStyle w:val="TableContents"/>
              <w:bidi w:val="0"/>
              <w:spacing w:before="0" w:after="283"/>
              <w:jc w:val="left"/>
              <w:rPr/>
            </w:pPr>
            <w:r>
              <w:rPr/>
              <w:t>$</w:t>
            </w:r>
          </w:p>
        </w:tc>
        <w:tc>
          <w:tcPr>
            <w:tcW w:w="1064" w:type="dxa"/>
            <w:tcBorders>
              <w:bottom w:val="double" w:sz="8" w:space="0" w:color="000000"/>
            </w:tcBorders>
            <w:tcMar>
              <w:bottom w:w="28" w:type="dxa"/>
            </w:tcMar>
            <w:vAlign w:val="center"/>
          </w:tcPr>
          <w:p>
            <w:pPr>
              <w:pStyle w:val="TableContents"/>
              <w:bidi w:val="0"/>
              <w:spacing w:before="0" w:after="283"/>
              <w:jc w:val="right"/>
              <w:rPr/>
            </w:pPr>
            <w:r>
              <w:rPr/>
              <w:t>3,247.77</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Pursuant to Rule 416(a) under the Securities Act of 1933, as amended (the “Securities Act”), this Registration Statement on Form S-8 shall also cover any additional shares of Protara Therapeutics, Inc.’s (the “Registrant”) common stock, par value $0.001 per share (“Common Stock”) that may become issuable under the 2024 Equity Incentive Plan, as amended (the “Plan”), by reason of any stock dividend, stock split, recapitalization or any other similar transaction effected without receipt of consideration which results in an increase in the number of the Registrant’s outstanding shares of Common Stock. Represents shares of the Registrant’s Common Stock issuable pursuant to the Plan being registered herein, which shares consist of shares of Common Stock reserved and available for delivery with respect to awards under the Plan and shares of Common Stock that may again become available for delivery with respect to awards under the Plan pursuant to the share counting and share recycling terms of the Plan. Estimated solely for the purpose of calculating the amount of the registration fee pursuant to Rule 457(c) and 457(h) of the Securities Act. The proposed maximum aggregate offering price per share and maximum aggregate offering price are calculated using the average of the high and low prices of the Registrant’s Common Stock as reported on the Nasdaq Global Market on August 7, 2026. The Registrant does not have any fee offsets.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59931/000121390024065668/ea0210480-s8_protara.htm" TargetMode="External"/><Relationship Id="rId3" Type="http://schemas.openxmlformats.org/officeDocument/2006/relationships/hyperlink" Target="https://www.sec.gov/Archives/edgar/data/1359931/000121390025074386/ea0250539-s8_protara.htm" TargetMode="External"/><Relationship Id="rId4" Type="http://schemas.openxmlformats.org/officeDocument/2006/relationships/hyperlink" Target="https://www.sec.gov/ix?doc=/Archives/edgar/data/0001359931/000121390026025433/ea0277639-10k_protara.htm" TargetMode="External"/><Relationship Id="rId5" Type="http://schemas.openxmlformats.org/officeDocument/2006/relationships/hyperlink" Target="https://www.sec.gov/ix?doc=/Archives/edgar/data/0001359931/000121390026055463/ea0287944-10q_protara.htm" TargetMode="External"/><Relationship Id="rId6" Type="http://schemas.openxmlformats.org/officeDocument/2006/relationships/hyperlink" Target="https://www.sec.gov/ix?doc=/Archives/edgar/data/1359931/000121390026087508/ea0298600-10q_protara.htm" TargetMode="External"/><Relationship Id="rId7" Type="http://schemas.openxmlformats.org/officeDocument/2006/relationships/hyperlink" Target="https://www.sec.gov/ix?doc=/Archives/edgar/data/0001359931/000121390026019617/ea0277972-8k_protara.htm" TargetMode="External"/><Relationship Id="rId8" Type="http://schemas.openxmlformats.org/officeDocument/2006/relationships/hyperlink" Target="https://www.sec.gov/ix?doc=/Archives/edgar/data/0001359931/000121390026068774/ea0294030-8k_protara.htm" TargetMode="External"/><Relationship Id="rId9" Type="http://schemas.openxmlformats.org/officeDocument/2006/relationships/hyperlink" Target="https://www.sec.gov/ix?doc=/Archives/edgar/data/0001359931/000121390026073184/ea0296286-8k_protara.htm" TargetMode="External"/><Relationship Id="rId10" Type="http://schemas.openxmlformats.org/officeDocument/2006/relationships/hyperlink" Target="https://www.sec.gov/Archives/edgar/data/1359931/000110465914072025/a14-15225_88a12b.htm" TargetMode="External"/><Relationship Id="rId11" Type="http://schemas.openxmlformats.org/officeDocument/2006/relationships/hyperlink" Target="http://www.sec.gov/Archives/edgar/data/1359931/000110465914074038/a14-15225_12ex3d1.htm" TargetMode="External"/><Relationship Id="rId12" Type="http://schemas.openxmlformats.org/officeDocument/2006/relationships/hyperlink" Target="http://www.sec.gov/Archives/edgar/data/1359931/000110465920003115/tm201618d1_ex3-1.htm" TargetMode="External"/><Relationship Id="rId13" Type="http://schemas.openxmlformats.org/officeDocument/2006/relationships/hyperlink" Target="http://www.sec.gov/Archives/edgar/data/1359931/000121390020011893/f10q0320ex3-3_artara.htm" TargetMode="External"/><Relationship Id="rId14" Type="http://schemas.openxmlformats.org/officeDocument/2006/relationships/hyperlink" Target="https://www.sec.gov/Archives/edgar/data/1359931/000121390026087508/ea029860001ex3-4.htm" TargetMode="External"/><Relationship Id="rId15" Type="http://schemas.openxmlformats.org/officeDocument/2006/relationships/hyperlink" Target="https://www.sec.gov/Archives/edgar/data/1359931/000121390026087508/ea029860001ex3-7.htm" TargetMode="External"/><Relationship Id="rId16" Type="http://schemas.openxmlformats.org/officeDocument/2006/relationships/hyperlink" Target="http://www.sec.gov/Archives/edgar/data/1359931/000117184317004634/exh_32.htm" TargetMode="External"/><Relationship Id="rId17" Type="http://schemas.openxmlformats.org/officeDocument/2006/relationships/hyperlink" Target="http://www.sec.gov/Archives/edgar/data/1359931/000110465920003115/tm201618d1_ex3-2.htm" TargetMode="External"/><Relationship Id="rId18" Type="http://schemas.openxmlformats.org/officeDocument/2006/relationships/hyperlink" Target="http://www.sec.gov/Archives/edgar/data/1359931/000121390020027951/ea127215ex3-1_protara.htm" TargetMode="External"/><Relationship Id="rId19" Type="http://schemas.openxmlformats.org/officeDocument/2006/relationships/hyperlink" Target="http://www.sec.gov/Archives/edgar/data/1359931/000104746919005409/a2239754zex-10_5.htm" TargetMode="External"/><Relationship Id="rId20" Type="http://schemas.openxmlformats.org/officeDocument/2006/relationships/hyperlink" Target="http://www.sec.gov/Archives/edgar/data/1359931/000121390024030623/ea020312801ex10-4_protar.htm" TargetMode="External"/><Relationship Id="rId21" Type="http://schemas.openxmlformats.org/officeDocument/2006/relationships/hyperlink" Target="http://www.sec.gov/Archives/edgar/data/1359931/000110465920003115/tm201618d1_ex4-1.htm" TargetMode="External"/><Relationship Id="rId22" Type="http://schemas.openxmlformats.org/officeDocument/2006/relationships/hyperlink" Target="http://www.sec.gov/Archives/edgar/data/1359931/000121390024065380/ea020992901ex99-1_protara.htm" TargetMode="External"/><Relationship Id="rId23" Type="http://schemas.openxmlformats.org/officeDocument/2006/relationships/hyperlink" Target="https://www.sec.gov/Archives/edgar/data/1359931/000121390025073942/ea024998101ex10-3_protara.htm" TargetMode="External"/><Relationship Id="rId24" Type="http://schemas.openxmlformats.org/officeDocument/2006/relationships/hyperlink" Target="https://www.sec.gov/Archives/edgar/data/1359931/000121390026087508/ea029860001ex10-1.htm" TargetMode="External"/><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4272</Words>
  <Characters>22791</Characters>
  <CharactersWithSpaces>27256</CharactersWithSpaces>
  <Paragraphs>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