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183.xml.htm"/>
      <w:bookmarkStart w:id="1" w:name="ksmarketforms731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Huang Jane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PROTARA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345 PARK AVENUE SOUTH,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Protara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TARA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1. The shares subject to the Annual Grant will vest in full upon the first anniversary of the date of grant, subject to the Eligible Director's continuous service as a member of the Board through such vesting date and will vest in full upon a Change of Control.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Grendell,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913" TargetMode="External"/><Relationship Id="rId5" Type="http://schemas.openxmlformats.org/officeDocument/2006/relationships/hyperlink" Target="http://www.sec.gov/cgi-bin/browse-edgar?action=getcompany&amp;CIK=00013599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3342</Characters>
  <CharactersWithSpaces>3900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